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EE" w:rsidRPr="00DC10EE" w:rsidRDefault="00DC10EE" w:rsidP="00DC10EE">
      <w:pPr>
        <w:pStyle w:val="ConsPlusNormal"/>
        <w:jc w:val="right"/>
      </w:pPr>
      <w:r w:rsidRPr="00DC10EE">
        <w:rPr>
          <w:rFonts w:ascii="Tinos" w:hAnsi="Tinos" w:cs="Tinos"/>
          <w:sz w:val="28"/>
          <w:szCs w:val="28"/>
        </w:rPr>
        <w:t>Приложение</w:t>
      </w:r>
    </w:p>
    <w:p w:rsidR="00DC10EE" w:rsidRPr="00DC10EE" w:rsidRDefault="00DC10EE" w:rsidP="00DC10EE">
      <w:pPr>
        <w:pStyle w:val="ConsPlusNormal"/>
        <w:jc w:val="right"/>
      </w:pPr>
      <w:r w:rsidRPr="00DC10EE">
        <w:rPr>
          <w:rFonts w:ascii="Tinos" w:hAnsi="Tinos" w:cs="Tinos"/>
          <w:sz w:val="28"/>
          <w:szCs w:val="28"/>
        </w:rPr>
        <w:t>к решению</w:t>
      </w:r>
    </w:p>
    <w:p w:rsidR="00DC10EE" w:rsidRPr="00DC10EE" w:rsidRDefault="00DC10EE" w:rsidP="00DC10EE">
      <w:pPr>
        <w:pStyle w:val="ConsPlusNormal"/>
        <w:jc w:val="right"/>
      </w:pPr>
      <w:r w:rsidRPr="00DC10EE">
        <w:rPr>
          <w:rFonts w:ascii="Tinos" w:hAnsi="Tinos" w:cs="Tinos"/>
          <w:sz w:val="28"/>
          <w:szCs w:val="28"/>
        </w:rPr>
        <w:t>Совета народных депутатов</w:t>
      </w:r>
    </w:p>
    <w:p w:rsidR="00DC10EE" w:rsidRPr="00DC10EE" w:rsidRDefault="00DC10EE" w:rsidP="00DC10EE">
      <w:pPr>
        <w:pStyle w:val="ConsPlusNormal"/>
        <w:jc w:val="right"/>
      </w:pPr>
      <w:r w:rsidRPr="00DC10EE">
        <w:rPr>
          <w:rFonts w:ascii="Tinos" w:hAnsi="Tinos" w:cs="Tinos"/>
          <w:sz w:val="28"/>
          <w:szCs w:val="28"/>
        </w:rPr>
        <w:t>ЗАТО г. Радужный</w:t>
      </w:r>
    </w:p>
    <w:p w:rsidR="00DC10EE" w:rsidRPr="00DC10EE" w:rsidRDefault="00EE0295" w:rsidP="00DC10EE">
      <w:pPr>
        <w:pStyle w:val="ConsPlusNormal"/>
        <w:jc w:val="right"/>
      </w:pPr>
      <w:r w:rsidRPr="00DC10EE">
        <w:rPr>
          <w:rFonts w:ascii="Tinos" w:hAnsi="Tinos" w:cs="Tinos"/>
          <w:sz w:val="28"/>
          <w:szCs w:val="28"/>
        </w:rPr>
        <w:t>О</w:t>
      </w:r>
      <w:r w:rsidR="00DC10EE" w:rsidRPr="00DC10EE">
        <w:rPr>
          <w:rFonts w:ascii="Tinos" w:hAnsi="Tinos" w:cs="Tinos"/>
          <w:sz w:val="28"/>
          <w:szCs w:val="28"/>
        </w:rPr>
        <w:t>т</w:t>
      </w:r>
      <w:r>
        <w:rPr>
          <w:rFonts w:ascii="Tinos" w:hAnsi="Tinos" w:cs="Tinos"/>
          <w:sz w:val="28"/>
          <w:szCs w:val="28"/>
        </w:rPr>
        <w:t xml:space="preserve"> 20.06.2022 № 10/71</w:t>
      </w:r>
    </w:p>
    <w:p w:rsidR="00DC10EE" w:rsidRPr="00DC10EE" w:rsidRDefault="00DC10EE" w:rsidP="00DC10EE">
      <w:pPr>
        <w:pStyle w:val="ConsPlusNormal"/>
        <w:jc w:val="both"/>
        <w:rPr>
          <w:rFonts w:ascii="Tinos" w:hAnsi="Tinos" w:cs="Tinos"/>
          <w:sz w:val="28"/>
          <w:szCs w:val="28"/>
        </w:rPr>
      </w:pPr>
    </w:p>
    <w:p w:rsidR="00DC10EE" w:rsidRPr="00DC10EE" w:rsidRDefault="00DC10EE" w:rsidP="00DC10EE">
      <w:pPr>
        <w:pStyle w:val="ConsPlusNormal"/>
        <w:jc w:val="center"/>
      </w:pPr>
      <w:bookmarkStart w:id="0" w:name="Par38"/>
      <w:bookmarkEnd w:id="0"/>
      <w:r w:rsidRPr="00DC10EE">
        <w:rPr>
          <w:rFonts w:ascii="Tinos" w:hAnsi="Tinos" w:cs="Tinos"/>
          <w:b/>
          <w:sz w:val="28"/>
          <w:szCs w:val="28"/>
        </w:rPr>
        <w:t>Изменения</w:t>
      </w:r>
    </w:p>
    <w:p w:rsidR="00DC10EE" w:rsidRPr="00DC10EE" w:rsidRDefault="00DC10EE" w:rsidP="00DC10EE">
      <w:pPr>
        <w:pStyle w:val="ConsPlusNormal"/>
        <w:jc w:val="center"/>
      </w:pPr>
      <w:r w:rsidRPr="00DC10EE">
        <w:rPr>
          <w:rFonts w:ascii="Tinos" w:eastAsia="Tinos" w:hAnsi="Tinos" w:cs="Tinos"/>
          <w:b/>
          <w:sz w:val="28"/>
          <w:szCs w:val="28"/>
        </w:rPr>
        <w:t xml:space="preserve"> </w:t>
      </w:r>
      <w:r w:rsidRPr="00DC10EE">
        <w:rPr>
          <w:rFonts w:ascii="Tinos" w:hAnsi="Tinos" w:cs="Tinos"/>
          <w:b/>
          <w:bCs/>
          <w:sz w:val="24"/>
        </w:rPr>
        <w:t>в правила по обеспечению чистоты, порядка и благоустройства на территории муниципального образования ЗАТО г. Радужный Владимирской области,</w:t>
      </w:r>
    </w:p>
    <w:p w:rsidR="00DC10EE" w:rsidRPr="00DC10EE" w:rsidRDefault="00DC10EE" w:rsidP="00DC10EE">
      <w:pPr>
        <w:pStyle w:val="ConsPlusNormal"/>
        <w:jc w:val="center"/>
      </w:pPr>
      <w:r w:rsidRPr="00DC10EE">
        <w:rPr>
          <w:rFonts w:ascii="Tinos" w:hAnsi="Tinos" w:cs="Tinos"/>
          <w:b/>
          <w:bCs/>
          <w:sz w:val="24"/>
        </w:rPr>
        <w:t>надлежащему содержанию расположенных на ней объектов</w:t>
      </w:r>
    </w:p>
    <w:p w:rsidR="00DC10EE" w:rsidRPr="00DC10EE" w:rsidRDefault="00DC10EE" w:rsidP="00DC10EE">
      <w:pPr>
        <w:pStyle w:val="ConsPlusNormal"/>
        <w:jc w:val="center"/>
        <w:rPr>
          <w:rFonts w:ascii="Tinos" w:hAnsi="Tinos" w:cs="Tinos"/>
          <w:szCs w:val="16"/>
        </w:rPr>
      </w:pPr>
    </w:p>
    <w:p w:rsidR="00DC10EE" w:rsidRPr="00DC10EE" w:rsidRDefault="00DC10EE" w:rsidP="00DC10EE">
      <w:pPr>
        <w:pStyle w:val="ConsPlusNormal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 xml:space="preserve">1. В </w:t>
      </w:r>
      <w:hyperlink r:id="rId4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 xml:space="preserve">разделе </w:t>
        </w:r>
      </w:hyperlink>
      <w:r w:rsidRPr="00DC10EE">
        <w:rPr>
          <w:rFonts w:ascii="Tinos" w:hAnsi="Tinos" w:cs="Tinos"/>
          <w:sz w:val="28"/>
          <w:szCs w:val="28"/>
        </w:rPr>
        <w:t xml:space="preserve"> 2 «Основные понятия» понятие «Земляные работы» изложить в новой редакции:</w:t>
      </w:r>
    </w:p>
    <w:p w:rsidR="00DC10EE" w:rsidRPr="00DC10EE" w:rsidRDefault="00DC10EE" w:rsidP="00DC10EE">
      <w:pPr>
        <w:pStyle w:val="ConsPlusNormal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«Земляные работы -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сантиметров».</w:t>
      </w:r>
    </w:p>
    <w:p w:rsidR="00DC10EE" w:rsidRPr="00DC10EE" w:rsidRDefault="00DC10EE" w:rsidP="00DC10EE">
      <w:pPr>
        <w:spacing w:before="103"/>
        <w:jc w:val="both"/>
      </w:pPr>
      <w:r w:rsidRPr="00DC10EE">
        <w:rPr>
          <w:rFonts w:ascii="Tinos" w:hAnsi="Tinos" w:cs="Tinos"/>
          <w:sz w:val="28"/>
          <w:szCs w:val="28"/>
        </w:rPr>
        <w:t>2. Пункт 3.2. изложить в новой редакции:</w:t>
      </w:r>
    </w:p>
    <w:p w:rsidR="00DC10EE" w:rsidRPr="00DC10EE" w:rsidRDefault="00DC10EE" w:rsidP="00DC10EE">
      <w:pPr>
        <w:spacing w:before="46"/>
        <w:jc w:val="both"/>
      </w:pPr>
      <w:r w:rsidRPr="00DC10EE">
        <w:rPr>
          <w:rFonts w:ascii="Tinos" w:hAnsi="Tinos" w:cs="Tinos"/>
          <w:sz w:val="28"/>
          <w:szCs w:val="28"/>
        </w:rPr>
        <w:t xml:space="preserve">«3.2. Порядок накопления твердых коммунальных отходов установлен  </w:t>
      </w:r>
      <w:hyperlink r:id="rId5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>постановлением</w:t>
        </w:r>
      </w:hyperlink>
      <w:r w:rsidRPr="00DC10EE">
        <w:rPr>
          <w:rFonts w:ascii="Tinos" w:hAnsi="Tinos" w:cs="Tinos"/>
          <w:sz w:val="28"/>
          <w:szCs w:val="28"/>
        </w:rPr>
        <w:t xml:space="preserve"> департамента природопользования и охраны окружающей среды  Владимирской области.</w:t>
      </w:r>
    </w:p>
    <w:p w:rsidR="00DC10EE" w:rsidRPr="00DC10EE" w:rsidRDefault="00DC10EE" w:rsidP="00DC10EE">
      <w:pPr>
        <w:pStyle w:val="ConsPlusNormal"/>
        <w:spacing w:before="103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3. Р</w:t>
      </w:r>
      <w:hyperlink r:id="rId6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 xml:space="preserve">азделе </w:t>
        </w:r>
      </w:hyperlink>
      <w:r w:rsidRPr="00DC10EE">
        <w:rPr>
          <w:rFonts w:ascii="Tinos" w:hAnsi="Tinos" w:cs="Tinos"/>
          <w:sz w:val="28"/>
          <w:szCs w:val="28"/>
        </w:rPr>
        <w:t>3 «Уборка территории» д</w:t>
      </w:r>
      <w:hyperlink r:id="rId7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>ополнить</w:t>
        </w:r>
      </w:hyperlink>
      <w:r w:rsidRPr="00DC10EE">
        <w:rPr>
          <w:rFonts w:ascii="Tinos" w:hAnsi="Tinos" w:cs="Tinos"/>
          <w:sz w:val="28"/>
          <w:szCs w:val="28"/>
        </w:rPr>
        <w:t xml:space="preserve"> пунктом 3.5.35. следующего содержания:</w:t>
      </w:r>
    </w:p>
    <w:p w:rsidR="00DC10EE" w:rsidRPr="00DC10EE" w:rsidRDefault="00DC10EE" w:rsidP="00DC10EE">
      <w:pPr>
        <w:pStyle w:val="ConsPlusNormal"/>
        <w:spacing w:before="46"/>
        <w:jc w:val="both"/>
      </w:pPr>
      <w:r w:rsidRPr="00DC10EE">
        <w:rPr>
          <w:rFonts w:ascii="Tinos" w:eastAsia="Tinos" w:hAnsi="Tinos" w:cs="Tinos"/>
          <w:sz w:val="28"/>
          <w:szCs w:val="28"/>
        </w:rPr>
        <w:t xml:space="preserve">    </w:t>
      </w:r>
      <w:r w:rsidRPr="00DC10EE">
        <w:rPr>
          <w:rFonts w:ascii="Tinos" w:hAnsi="Tinos" w:cs="Tinos"/>
          <w:sz w:val="28"/>
          <w:szCs w:val="28"/>
        </w:rPr>
        <w:t>«3.5.35.Стоянка транспортных средств (в том числе разукомплектованных) у газовых распределителей, электрораспределительных подстанций или стоянка транспортных средств (в том числе разукомплектованных) на проезжей части дворовых территорий, препятствующая механизированной уборке и вывозу бытовых отходов, за исключением случаев использования транспортных средств в целях выполнения аварийных работ».</w:t>
      </w:r>
    </w:p>
    <w:p w:rsidR="00DC10EE" w:rsidRPr="00DC10EE" w:rsidRDefault="00DC10EE" w:rsidP="00DC10EE">
      <w:pPr>
        <w:pStyle w:val="ConsPlusNormal"/>
        <w:spacing w:before="46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4. Раздел 15 «Требования к содержанию наружной рекламы и информации» изложить в новой редакции:</w:t>
      </w:r>
    </w:p>
    <w:p w:rsidR="00DC10EE" w:rsidRPr="00DC10EE" w:rsidRDefault="00DC10EE" w:rsidP="00DC10EE">
      <w:pPr>
        <w:pStyle w:val="ConsPlusNormal"/>
        <w:spacing w:before="46"/>
        <w:ind w:firstLine="540"/>
        <w:jc w:val="both"/>
      </w:pPr>
      <w:r w:rsidRPr="00DC10EE">
        <w:rPr>
          <w:rFonts w:ascii="Tinos" w:hAnsi="Tinos" w:cs="Tinos"/>
          <w:b/>
          <w:sz w:val="28"/>
          <w:szCs w:val="28"/>
        </w:rPr>
        <w:t xml:space="preserve">«15. </w:t>
      </w:r>
      <w:bookmarkStart w:id="1" w:name="P0111"/>
      <w:bookmarkEnd w:id="1"/>
      <w:r w:rsidRPr="00DC10EE">
        <w:rPr>
          <w:rFonts w:ascii="Tinos" w:hAnsi="Tinos" w:cs="Tinos"/>
          <w:b/>
          <w:sz w:val="28"/>
          <w:szCs w:val="28"/>
        </w:rPr>
        <w:t xml:space="preserve">Содержание средств размещения информации, рекламных конструкций </w:t>
      </w:r>
    </w:p>
    <w:p w:rsidR="00DC10EE" w:rsidRPr="00DC10EE" w:rsidRDefault="00DC10EE" w:rsidP="00DC10EE">
      <w:pPr>
        <w:pStyle w:val="ConsPlusNormal"/>
        <w:spacing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15.1. Средства размещения информации и рекламных конструкций</w:t>
      </w:r>
      <w:r w:rsidRPr="00DC10EE">
        <w:rPr>
          <w:rFonts w:ascii="Tinos" w:hAnsi="Tinos" w:cs="Tinos"/>
          <w:b/>
          <w:sz w:val="28"/>
          <w:szCs w:val="28"/>
        </w:rPr>
        <w:t xml:space="preserve"> </w:t>
      </w:r>
      <w:r w:rsidRPr="00DC10EE">
        <w:rPr>
          <w:rFonts w:ascii="Tinos" w:hAnsi="Tinos" w:cs="Tinos"/>
          <w:sz w:val="28"/>
          <w:szCs w:val="28"/>
        </w:rPr>
        <w:t xml:space="preserve">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образования. Ответственность за их содержание несут юридические и физические лица, индивидуальные предприниматели, на которых оформлена разрешительная документация.</w:t>
      </w:r>
    </w:p>
    <w:p w:rsidR="00DC10EE" w:rsidRPr="00DC10EE" w:rsidRDefault="00DC10EE" w:rsidP="00DC10EE">
      <w:pPr>
        <w:pStyle w:val="ConsPlusNormal"/>
        <w:spacing w:before="46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 Общие требования к размещению средств размещения информации и рекламных конструкций</w:t>
      </w:r>
      <w:r w:rsidRPr="00DC10EE">
        <w:rPr>
          <w:rFonts w:ascii="Tinos" w:hAnsi="Tinos" w:cs="Tinos"/>
          <w:b/>
          <w:bCs/>
          <w:sz w:val="28"/>
          <w:szCs w:val="28"/>
        </w:rPr>
        <w:t xml:space="preserve">  </w:t>
      </w:r>
      <w:r w:rsidRPr="00DC10EE">
        <w:rPr>
          <w:rFonts w:ascii="Tinos" w:hAnsi="Tinos" w:cs="Tinos"/>
          <w:sz w:val="28"/>
          <w:szCs w:val="28"/>
        </w:rPr>
        <w:t>на зданиях и сооружениях.</w:t>
      </w:r>
    </w:p>
    <w:p w:rsidR="00DC10EE" w:rsidRPr="00DC10EE" w:rsidRDefault="00DC10EE" w:rsidP="00DC10EE">
      <w:pPr>
        <w:pStyle w:val="ConsPlusNormal"/>
        <w:spacing w:before="46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К средствам размещения информации и рекламных конструкций</w:t>
      </w:r>
      <w:r w:rsidRPr="00DC10EE">
        <w:rPr>
          <w:rFonts w:ascii="Tinos" w:hAnsi="Tinos" w:cs="Tinos"/>
          <w:b/>
          <w:sz w:val="28"/>
          <w:szCs w:val="28"/>
        </w:rPr>
        <w:t xml:space="preserve"> </w:t>
      </w:r>
      <w:r w:rsidRPr="00DC10EE">
        <w:rPr>
          <w:rFonts w:ascii="Tinos" w:hAnsi="Tinos" w:cs="Tinos"/>
          <w:sz w:val="28"/>
          <w:szCs w:val="28"/>
        </w:rPr>
        <w:t xml:space="preserve"> относятся различные носители рекламных и информационных сообщений, монтируемые и располагаемые на внешних стенах, крышах и иных конструктивных элементах зданий, строений, сооружений или вне их, и </w:t>
      </w:r>
      <w:r w:rsidRPr="00DC10EE">
        <w:rPr>
          <w:rFonts w:ascii="Tinos" w:hAnsi="Tinos" w:cs="Tinos"/>
          <w:sz w:val="28"/>
          <w:szCs w:val="28"/>
        </w:rPr>
        <w:lastRenderedPageBreak/>
        <w:t>рассчитанные на визуальное восприятие из городского пространства, а именно: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и иные технические средства стабильного территориального размещения.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Все средства размещения информации и рекламных конструкций  на территории муниципального образования размещаются исключительно при наличии разрешительной документации: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для рекламных конструкций - разрешение на установку и эксплуатацию рекламной конструкции - оформленный в соответствии с федеральным законодательством документ, удостоверяющий право указанного в нем лица разместить рекламную конструкцию на указанном в разрешении рекламном месте;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для средств размещения информации (далее - СРИ), размещаемых вне специальных стендов для объявлений (вывески, таблички, плакаты, объявления, прочая визуальная информация) и витрин, - согласование администрации муниципального образования.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Размещение всех видов СРИ производится при наличии согласия собственника (владельца) имущества, к которому присоединяется СРИ.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При размещении СРИ на зданиях, сооружениях должны выполняться следующие условия: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высокий уровень технического исполнения;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сомасштабность месту расположения и архитектурно-пространственному окружению;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согласованность в пределах фасада независимо от принадлежности объектов;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соответствие условиям восприятия (визуальная доступность, читаемость);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цветовая гармония с архитектурным фоном;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приоритет мемориальных объектов (мемориальных досок, знаков и т.п.);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безопасность для людей и для физического состояния архитектурных объектов в соответствии с ГОСТ Р 52044-2003 "Наружная реклама на автомобильных дорогах и территориях городских и сельских поселений";</w:t>
      </w:r>
    </w:p>
    <w:p w:rsidR="00DC10EE" w:rsidRPr="00DC10EE" w:rsidRDefault="00DC10EE" w:rsidP="00DC10EE">
      <w:pPr>
        <w:pStyle w:val="ConsPlusNormal"/>
        <w:spacing w:line="283" w:lineRule="exact"/>
        <w:jc w:val="both"/>
      </w:pP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удобство эксплуатации и ремонта.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Конструкции СРИ на зданиях и сооружениях должны обеспечивать: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lastRenderedPageBreak/>
        <w:t>- наименьшее число точек крепления и сопряжения;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легкость монтажа и демонтажа;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ремонтопригодность (возможность замены блоков, элементов подсветки и т.п.);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безопасность эксплуатации и обслуживания.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Стилистика СРИ должна соответствовать особенностям окружающего пространства: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решение СРИ, отвечающее масштабу и характеру архитектурного окружения.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Цветовое решение СРИ должно отвечать следующим требованиям: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гармония с цветовой гаммой фасада;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ограниченное использование ярких насыщенных цветов;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ограниченное использование фирменных цветов и цветосочетаний;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согласованность с другими СРИ в пределах фасада.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Для металлических деталей СРИ рекомендуются цвета: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графит, серый, светлые нейтральные.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Запрещается: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использование цветов, диссонирующих с колористикой фасада;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применение флуоресцентных составов;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цветовое решение малых консольных СРИ, близкое к цветовой символике дорожных знаков.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Материалы, используемые при изготовлении СРИ, должны: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отвечать современным требованиям качества;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выдерживать длительный срок службы без изменения декоративных и эксплуатационных качеств;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иметь гарантированно длительную антикоррозийную стойкость, светостойкость и влагостойкость.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При изготовлении СРИ не допускается: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использование некачественных недолговечных материалов;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низкий технический уровень изготовления;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использование конструктивных и технических решений, представляющих опасность в процессе эксплуатации.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Изготовление и установка СРИ должны производиться без отклонений от утвержденной проектной документации, конструктивные элементы должны быть скрыты или иметь эстетически проработанный вид.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 xml:space="preserve">В процессе эксплуатации СРИ его владелец отвечает за сохранность и </w:t>
      </w:r>
      <w:r w:rsidRPr="00DC10EE">
        <w:rPr>
          <w:rFonts w:ascii="Tinos" w:hAnsi="Tinos" w:cs="Tinos"/>
          <w:sz w:val="28"/>
          <w:szCs w:val="28"/>
        </w:rPr>
        <w:lastRenderedPageBreak/>
        <w:t>внешний вид объекта, безопасность его эксплуатации.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Владелец СРИ обязан: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содержать СРИ в полной исправности, надлежащем эстетическом и санитарном состоянии. СНРИ не должно содержать ржавчины и следов расклейки на опорах, поврежденных и выгоревших изображений, остекления и прочее;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обеспечить наличие подсветки СРИ в вечернее время (если таковая предусмотрена проектом);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своевременно производить текущий ремонт СРИ;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содержать в надлежащем состоянии прилегающую к СНРИ территорию в радиусе 5 м от опоры (опор) рекламоносителя (не допускать наличия мусора, регулярно производить покос травы - если конструкция располагается на газоне, и уборку снега - если конструкция располагается в местах уборки снега);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в случае оповещения о наступлении неблагоприятных условий природного и техногенного характера своевременно принять меры, исключающие возникновение аварийных ситуаций;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устранять нарушения, указанные в предписаниях контролирующих органов, в сроки, установленные в предписании.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15.2.1. Настенные панно.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Настенные панно - это СРИ, размещаемые на плоскости стен зданий и сооружений и состоящие из элементов крепления, каркаса и информационного поля для размещения изображения (с текстом или без).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Для настенных панно, имеющих элементы крепления, в обязательном порядке разрабатывается проект крепления конструкции с целью обеспечения безопасности при эксплуатации.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Не допускается: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размещение на главных фасадах зданий щитовых и баннерных рекламоносителей, закрывающих значительную часть фасада, остекление витрин и окон, архитектурные детали и декоративное оформление;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размещение настенных панно без изображения;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размещение настенных панно без согласования эскиза изображения художественного и эстетического решения уполномоченным органом;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размещение настенных панно на фасадах, имеющих ненадлежащий вид;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использование СРИ вместо ремонта фасадов.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15.2.2. Кронштейны.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Кронштейны - двухсторонние консольные плоскостные СРИ, устанавливаемые на опорах (на собственных опорах, опорах городского освещения, опорах контактной сети) или на зданиях.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lastRenderedPageBreak/>
        <w:t>Типовые размеры кронштейнов, размещаемых на опорах электрических сетей: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для магистральных улиц - 1,5 м (h) x 1,0 м;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для дорог и улиц внутриквартального значения - 1,5 м (h) x 1,0 м; 1,0 м (h) x 0,75 м.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Запрещается размещать более одной конструкции на опоре, совмещать размещение рекламных конструкций и дорожных знаков, использовать для размещения наружной рекламы опоры, выработавшие свой ресурс.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Размеры кронштейнов, размещаемых на фасадах зданий, определяются архитектурными особенностями здания.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 целях безопасности в эксплуатации кронштейны должны быть установлены на высоте не менее 2,5 м над газонами и не менее 3,0 м - над тротуарами и пешеходными зонами.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При размещении на опоре кронштейны должны быть ориентированы в сторону, противоположную проезжей части.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Кронштейны, устанавливаемые на зданиях и сооружениях, в горизонтальном направлении не должны выступать более чем на 1,5 м от точки крепления к зданию или сооружению.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15.2.3. Вывески.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Вывеской считается техническое средство стабильного территориального размещения, предназначенное для размещения обязательной информации: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фирменное наименование (наименование) организации - для юридических лиц (например, ООО "Марс");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организационно-правовая форма;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ФИО - для индивидуальных предпринимателей, осуществляющих деятельность без образования юридического лица (например, ИП Иванов А.М.);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место нахождения (адрес) и режим работы.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При наличии у организации зарегистрированного в установленном порядке товарного знака допускается его размещение на вывеске.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 дополнение к обязательной информации на вывеске допускается размещение информации, раскрывающей профиль предприятия (тип, специализация).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Для предприятий торговли и общественного питания допускается использование наименований объекта, находящегося в конкретном здании (помещении).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 xml:space="preserve">Предприятия и организации по обслуживанию населения вправе размещать на вывесках и в витринах дополнительную рекламную информацию. В этом случае оформление предприятия приобретает статус рекламы, которая размещается на основании разрешения на установку и </w:t>
      </w:r>
      <w:r w:rsidRPr="00DC10EE">
        <w:rPr>
          <w:rFonts w:ascii="Tinos" w:hAnsi="Tinos" w:cs="Tinos"/>
          <w:sz w:val="28"/>
          <w:szCs w:val="28"/>
        </w:rPr>
        <w:lastRenderedPageBreak/>
        <w:t>эксплуатацию рекламной конструкции, выдаваемого в установленном порядке.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15.2.3.1. Тексты, содержащиеся на вывесках, должны выполняться на русском языке с использованием грамматически общепринятого написания слов (исключая зарегистрированные товарные знаки и знаки обслуживания, фирменные наименования, указанные в учредительных документах). Недопустимо использование в текстах ненормативной лексики, бранных слов и иностранных слов, выполненных русскими буквами, и наоборот, русских слов, выполненных латинскими буквами.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15.2.3.2. В границах территории, на зданиях и сооружениях автозаправочных станций, моечных постов допускается установка и эксплуатация на правах вывески конструкций для размещения информации о ценах на топливо и ценах на услуги мойки автомобилей.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При этом должно быть исключено использование дополнительных технических устройств, изобразительных приемов и оборудования, усиливающих привлекательность данных предприятий для потенциальных клиентов (стробоскопы, светодинамические установки и т.д.), а также декоративных элементов.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15.2.3.3. Информационная табличка должна располагаться рядом с входом в здание или помещение владельца вывески, информационный элемент - рядом с входом в здание или помещение или над окнами помещения, занимаемого владельцем вывески. Информационные таблички могут быть заменены надписями на стекле витрины, входной двери и др.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Крупные настенные вывески располагаются преимущественно между первым и вторым этажами, формируют основную горизонталь информационного поля фасада.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Малые настенные вывески располагаются в плоскости стены в пределах 1 этажа рядом с входом в учреждение и имеют площадь не более 1 кв. м.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Малые консольные вывески предпочтительны в условиях ограниченной возможности восприятия настенных вывесок, располагаются между 1 - 2 этажами в пределах участка фасада, занимаемого владельцем, у входа в здание, а также у арки или угловой границы фасада (при размещении объекта вне пределов данного фасада не далее 50 м), имеют размеры не более 1,2 м по высоте, 0,5 м по ширине.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Вертикальные консольные вывески располагаются преимущественно в пределах одного этажа у боковых границ фасада. Размеры вертикальных консольных вывесок не более 3 м по высоте и 0,6 м по ширине, текстовая информация должна быть размещена по вертикали.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Вывески на крыше разрешаются только для организаций, занимающих все здание или значительную его часть.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Вывески-стелы в виде отдельно стоящих конструкций, располагающихся в непосредственной близости от зданий деловых и торговых центров и функционально связанных с ними, используются для размещения обязательной информации об организациях, находящихся в этих зданиях, в целях сохранения архитектурной целостности фасадов.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lastRenderedPageBreak/>
        <w:t>Вывески в витринах: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рекомендуются при отсутствии мест размещения на фасаде;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являются составной частью оформления витрин;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- площадь не более 1/10 поля крупных витрин и не более 1/5 поля небольших оконных проемов.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Вывески и рекламное оформление предприятий, находящихся в зданиях торговых и деловых центров с большим количеством собственников или арендаторов, должно размещаться в соответствии с единым проектом для конкретного здания, обеспечивающим художественное и стилистическое единство оформления фасада. Отсутствие единого проекта расположения вывесок и рекламного оформления на одноэтажных и многоэтажных зданиях может служить причиной отказа в согласовании размещения вывески и рекламного оформления ввиду возможного нарушения внешнего архитектурного облика застройки.</w:t>
      </w:r>
    </w:p>
    <w:p w:rsidR="00DC10EE" w:rsidRPr="00DC10EE" w:rsidRDefault="00DC10EE" w:rsidP="00DC10EE">
      <w:pPr>
        <w:pStyle w:val="ConsPlusNormal"/>
        <w:spacing w:before="160" w:line="283" w:lineRule="exact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 xml:space="preserve">15.3. За незаконное размещение СРИ, размещение печатных материалов в неустановленных местах, нарушение требований, предъявляемых к содержанию СРИ, имущества, к которому присоединяются СРИ и/или на котором размещаются печатные материалы, юридические, должностные и физические лица (в том числе индивидуальные предприниматели) несут ответственность в соответствии с </w:t>
      </w:r>
      <w:hyperlink r:id="rId8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>Кодексом</w:t>
        </w:r>
      </w:hyperlink>
      <w:r w:rsidRPr="00DC10EE">
        <w:rPr>
          <w:rFonts w:ascii="Tinos" w:hAnsi="Tinos" w:cs="Tinos"/>
          <w:sz w:val="28"/>
          <w:szCs w:val="28"/>
        </w:rPr>
        <w:t xml:space="preserve"> Российской Федерации об административных правонарушениях от 30.12.2001 N 195-ФЗ.</w:t>
      </w:r>
    </w:p>
    <w:p w:rsidR="00DC10EE" w:rsidRPr="00DC10EE" w:rsidRDefault="00DC10EE" w:rsidP="00DC10EE">
      <w:pPr>
        <w:pStyle w:val="ConsPlusNormal"/>
        <w:spacing w:before="160"/>
        <w:ind w:firstLine="540"/>
        <w:jc w:val="both"/>
      </w:pPr>
      <w:r w:rsidRPr="00DC10EE">
        <w:rPr>
          <w:rFonts w:ascii="Tinos" w:hAnsi="Tinos" w:cs="Tinos"/>
          <w:sz w:val="28"/>
          <w:szCs w:val="28"/>
        </w:rPr>
        <w:t>5. Р</w:t>
      </w:r>
      <w:hyperlink r:id="rId9" w:history="1">
        <w:r w:rsidRPr="00DC10EE">
          <w:rPr>
            <w:rStyle w:val="a3"/>
            <w:rFonts w:ascii="Tinos" w:hAnsi="Tinos" w:cs="Tinos"/>
            <w:color w:val="auto"/>
            <w:sz w:val="28"/>
            <w:szCs w:val="28"/>
            <w:u w:val="none"/>
          </w:rPr>
          <w:t xml:space="preserve">аздел </w:t>
        </w:r>
      </w:hyperlink>
      <w:r w:rsidRPr="00DC10EE">
        <w:rPr>
          <w:rFonts w:ascii="Tinos" w:hAnsi="Tinos" w:cs="Tinos"/>
          <w:sz w:val="28"/>
          <w:szCs w:val="28"/>
        </w:rPr>
        <w:t xml:space="preserve">26 «Содержание животных» </w:t>
      </w:r>
      <w:r w:rsidRPr="00DC10EE">
        <w:rPr>
          <w:rStyle w:val="a3"/>
          <w:rFonts w:ascii="Tinos" w:eastAsia="Times New Roman" w:hAnsi="Tinos" w:cs="Tinos"/>
          <w:color w:val="auto"/>
          <w:sz w:val="28"/>
          <w:szCs w:val="28"/>
          <w:u w:val="none"/>
          <w:lang w:eastAsia="ar-SA" w:bidi="ar-SA"/>
        </w:rPr>
        <w:t>признать утратившим силу</w:t>
      </w:r>
      <w:r w:rsidRPr="00DC10EE">
        <w:rPr>
          <w:rFonts w:ascii="Tinos" w:hAnsi="Tinos" w:cs="Tinos"/>
          <w:sz w:val="28"/>
          <w:szCs w:val="28"/>
        </w:rPr>
        <w:t>.</w:t>
      </w: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  <w:rPr>
          <w:rFonts w:ascii="Tinos" w:hAnsi="Tinos" w:cs="Tinos"/>
          <w:sz w:val="28"/>
          <w:szCs w:val="28"/>
        </w:rPr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spacing w:before="160"/>
        <w:ind w:firstLine="540"/>
        <w:jc w:val="both"/>
      </w:pPr>
    </w:p>
    <w:p w:rsidR="00DC10EE" w:rsidRDefault="00DC10EE" w:rsidP="00DC10EE">
      <w:pPr>
        <w:pStyle w:val="ConsPlusNormal"/>
        <w:jc w:val="both"/>
      </w:pPr>
    </w:p>
    <w:p w:rsidR="00863C1F" w:rsidRDefault="00863C1F"/>
    <w:sectPr w:rsidR="00863C1F" w:rsidSect="006D2BED">
      <w:pgSz w:w="11906" w:h="16838"/>
      <w:pgMar w:top="1134" w:right="850" w:bottom="1134" w:left="1701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10EE"/>
    <w:rsid w:val="006D2BED"/>
    <w:rsid w:val="00863C1F"/>
    <w:rsid w:val="00DC10EE"/>
    <w:rsid w:val="00DC1DEC"/>
    <w:rsid w:val="00E91CC9"/>
    <w:rsid w:val="00E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E"/>
    <w:pPr>
      <w:widowControl w:val="0"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10EE"/>
    <w:rPr>
      <w:color w:val="000080"/>
      <w:u w:val="single"/>
    </w:rPr>
  </w:style>
  <w:style w:type="paragraph" w:customStyle="1" w:styleId="ConsPlusNormal">
    <w:name w:val="ConsPlusNormal"/>
    <w:rsid w:val="00DC10EE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A6CD5A6F939B4EAE3B8E471940784E518B951E083B05EB7A8511ABB3C78415C1929700F8F9B053E85B2057hFE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C6740037F3F3BF1E13F2F4326B390461F4C3E88913C704F9673B7EBB0D763BB3EB74602ACA555EF1ACE51264123F4803804E8E2C66873E9DB2E574X3Z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6740037F3F3BF1E13F2F4326B390461F4C3E88913C704F9673B7EBB0D763BB3EB74602ACA555EF1ACE21167123F4803804E8E2C66873E9DB2E574X3Z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5CA6CD5A6F939B4EAE258351751E724F5DDD9B1A083754B1288346F4E3C1D14781CCCE51B9B2BD50F3472056E6C26468hBE1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3C6740037F3F3BF1E13F2F4326B390461F4C3E88913C704F9673B7EBB0D763BB3EB74602ACA555EF1ACE21260123F4803804E8E2C66873E9DB2E574X3Z6N" TargetMode="External"/><Relationship Id="rId9" Type="http://schemas.openxmlformats.org/officeDocument/2006/relationships/hyperlink" Target="consultantplus://offline/ref=F3C6740037F3F3BF1E13F2F4326B390461F4C3E88913C704F9673B7EBB0D763BB3EB74602ACA555EF1ACE51264123F4803804E8E2C66873E9DB2E574X3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2022-06-15T06:25:00Z</dcterms:created>
  <dcterms:modified xsi:type="dcterms:W3CDTF">2022-06-21T04:43:00Z</dcterms:modified>
</cp:coreProperties>
</file>