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65" w:rsidRDefault="000E2665" w:rsidP="000E266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64293" w:rsidRDefault="00F64293" w:rsidP="00F6429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64293" w:rsidRDefault="00F64293" w:rsidP="00F6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постановлению администрации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ЗАТО г. Радужный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Владимирской области</w:t>
      </w:r>
    </w:p>
    <w:p w:rsidR="00F64293" w:rsidRDefault="00BE555D" w:rsidP="00F6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01.11.2022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1408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64293" w:rsidRDefault="00F64293" w:rsidP="00F6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постановлению администрации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ЗАТО г. Радужный 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Владимирской области</w:t>
      </w:r>
    </w:p>
    <w:p w:rsidR="00F64293" w:rsidRDefault="00F64293" w:rsidP="00F6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12.10.2016 № 1587</w:t>
      </w:r>
    </w:p>
    <w:p w:rsidR="00F64293" w:rsidRDefault="00F64293" w:rsidP="00F6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D5FF2">
        <w:rPr>
          <w:rFonts w:ascii="Times New Roman" w:hAnsi="Times New Roman" w:cs="Times New Roman"/>
          <w:sz w:val="24"/>
          <w:szCs w:val="24"/>
        </w:rPr>
        <w:t xml:space="preserve">        (в редакции от 12.08.2022 № 1044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2665" w:rsidRDefault="000E2665" w:rsidP="000E266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E2665" w:rsidRDefault="000E2665" w:rsidP="000E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D6B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E2665" w:rsidRDefault="000E2665" w:rsidP="000E26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665" w:rsidRDefault="000E2665" w:rsidP="000E266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«Жилищно-коммунальный комплекс </w:t>
      </w:r>
      <w:r w:rsidR="00AA7F76">
        <w:rPr>
          <w:rFonts w:ascii="Times New Roman" w:hAnsi="Times New Roman" w:cs="Times New Roman"/>
          <w:b/>
          <w:bCs/>
          <w:sz w:val="36"/>
          <w:szCs w:val="36"/>
        </w:rPr>
        <w:t>на территории</w:t>
      </w: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ЗАТО г. Радужный Владимирской области»</w:t>
      </w:r>
    </w:p>
    <w:p w:rsidR="000E2665" w:rsidRDefault="000E2665" w:rsidP="000E266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Pr="008C5373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AA7F76" w:rsidRDefault="00AA7F76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6176F8" w:rsidRDefault="006176F8" w:rsidP="000E26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ЗАТО г. Радужный</w:t>
      </w:r>
    </w:p>
    <w:p w:rsidR="00D14143" w:rsidRPr="00BF1AD9" w:rsidRDefault="00D14143" w:rsidP="00A72D0C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pPr w:leftFromText="180" w:rightFromText="180" w:vertAnchor="text" w:horzAnchor="margin" w:tblpXSpec="center" w:tblpY="898"/>
        <w:tblW w:w="953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983"/>
      </w:tblGrid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43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муниципальной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43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«Жилищно-коммунальный комплекс</w:t>
            </w:r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AA7F7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– Программа)</w:t>
            </w:r>
          </w:p>
        </w:tc>
      </w:tr>
      <w:tr w:rsidR="002906AA" w:rsidRPr="004A0C7C" w:rsidTr="005B6B16">
        <w:trPr>
          <w:trHeight w:val="13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</w:t>
            </w:r>
            <w:r w:rsidR="006C2DBC">
              <w:rPr>
                <w:rFonts w:ascii="Times New Roman" w:hAnsi="Times New Roman" w:cs="Times New Roman"/>
                <w:sz w:val="28"/>
                <w:szCs w:val="28"/>
              </w:rPr>
              <w:t>» (далее по тексту - МКУ «ГКМХ</w:t>
            </w:r>
            <w:proofErr w:type="gramStart"/>
            <w:r w:rsidR="006C2DB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2906AA" w:rsidRPr="004A0C7C" w:rsidTr="005B6B16">
        <w:trPr>
          <w:trHeight w:val="4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1.Подпрограмма «Развитие жилищно-коммунального комплекса </w:t>
            </w:r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AA7F7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ЗАТО г. Радужный Владимирской области» </w:t>
            </w:r>
          </w:p>
          <w:p w:rsidR="002906AA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2. Подпрограмма «Ведомственная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программа  «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D25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56AE" w:rsidRPr="004A0C7C" w:rsidRDefault="00D256AE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B9">
              <w:rPr>
                <w:rFonts w:ascii="Times New Roman" w:hAnsi="Times New Roman" w:cs="Times New Roman"/>
                <w:sz w:val="28"/>
                <w:szCs w:val="28"/>
              </w:rPr>
              <w:t>3. Подпрограмма «Финансовое оздоровление муниципальных унитарных предприятий</w:t>
            </w:r>
            <w:r w:rsidR="00034C94">
              <w:rPr>
                <w:rFonts w:ascii="Times New Roman" w:hAnsi="Times New Roman" w:cs="Times New Roman"/>
                <w:sz w:val="28"/>
                <w:szCs w:val="28"/>
              </w:rPr>
              <w:t xml:space="preserve">, учредителем которых является </w:t>
            </w:r>
            <w:proofErr w:type="gramStart"/>
            <w:r w:rsidR="00034C9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7B40B9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  <w:r w:rsidR="00D14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81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  <w:p w:rsidR="002906AA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 в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полном соответствии с требованиями действующего законодательства</w:t>
            </w:r>
          </w:p>
          <w:p w:rsidR="00E24412" w:rsidRPr="004A0C7C" w:rsidRDefault="00E2441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финансовой устойчивости муниципальных унитарных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предприятий</w:t>
            </w:r>
            <w:proofErr w:type="gramEnd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ЗАТО г. Радужный (д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алее 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МУП)</w:t>
            </w:r>
          </w:p>
        </w:tc>
      </w:tr>
      <w:tr w:rsidR="002906AA" w:rsidRPr="004A0C7C" w:rsidTr="005B6B16">
        <w:trPr>
          <w:trHeight w:val="7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8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2D0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- модернизация объектов коммунальной инфраструктуры   муниципального образования;</w:t>
            </w:r>
          </w:p>
          <w:p w:rsidR="00430E29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- снижение тарифн</w:t>
            </w:r>
            <w:r w:rsidR="00430E29">
              <w:rPr>
                <w:rFonts w:ascii="Times New Roman" w:hAnsi="Times New Roman" w:cs="Times New Roman"/>
                <w:sz w:val="28"/>
                <w:szCs w:val="28"/>
              </w:rPr>
              <w:t>ой нагрузки для населения,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снижения издержек и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повышения  качества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 жилищно-коммунальных услуг </w:t>
            </w:r>
          </w:p>
          <w:p w:rsidR="004B6782" w:rsidRDefault="00146B8D" w:rsidP="00921C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п</w:t>
            </w:r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овышение эффективности осуществления контроля за деятельностью </w:t>
            </w:r>
            <w:proofErr w:type="gramStart"/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МУП</w:t>
            </w:r>
            <w:proofErr w:type="gramEnd"/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поэтапных действий: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оздоровлению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выходу из финансового кризиса для  восстановления 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МУП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предупреждению процедур, приводящих к банкротству предприятия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B6782" w:rsidRPr="004A0C7C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кризисной ситуации МУП в связи </w:t>
            </w:r>
            <w:r w:rsidR="004D2156">
              <w:rPr>
                <w:rFonts w:ascii="Times New Roman" w:hAnsi="Times New Roman" w:cs="Times New Roman"/>
                <w:sz w:val="28"/>
                <w:szCs w:val="28"/>
              </w:rPr>
              <w:t xml:space="preserve">  с объявленной пандемией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коронавирусной</w:t>
            </w:r>
            <w:proofErr w:type="spellEnd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инфекции COVID-19</w:t>
            </w:r>
          </w:p>
        </w:tc>
      </w:tr>
      <w:tr w:rsidR="002906AA" w:rsidRPr="004A0C7C" w:rsidTr="005B6B16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A92" w:rsidRDefault="00430E29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потребителей товаров и услуг организаций комму</w:t>
            </w:r>
            <w:r w:rsidR="000C4B11">
              <w:rPr>
                <w:rFonts w:ascii="Times New Roman" w:hAnsi="Times New Roman" w:cs="Times New Roman"/>
                <w:sz w:val="28"/>
                <w:szCs w:val="28"/>
              </w:rPr>
              <w:t>нального комплекса</w:t>
            </w:r>
            <w:r w:rsidR="00B06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A92" w:rsidRDefault="00B06A9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  <w:p w:rsidR="000C4B11" w:rsidRPr="00252FC5" w:rsidRDefault="00B06A9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кредиторской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дебиторской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задолженности МУП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</w:tc>
      </w:tr>
      <w:tr w:rsidR="002906AA" w:rsidRPr="004A0C7C" w:rsidTr="005B6B16">
        <w:trPr>
          <w:trHeight w:val="13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ED0C48" w:rsidP="004A0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907C4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B1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proofErr w:type="gramEnd"/>
            <w:r w:rsidR="005B6B16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числе: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1 этап – 2017 год, 2 этап – 2018 год, 3 этап – 2019 год</w:t>
            </w:r>
            <w:r w:rsidR="00AF3838" w:rsidRPr="00252FC5">
              <w:rPr>
                <w:rFonts w:ascii="Times New Roman" w:hAnsi="Times New Roman" w:cs="Times New Roman"/>
                <w:sz w:val="28"/>
                <w:szCs w:val="28"/>
              </w:rPr>
              <w:t>, 4 этап – 2020 год</w:t>
            </w:r>
            <w:r w:rsidR="00B24683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B2468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C2698">
              <w:rPr>
                <w:rFonts w:ascii="Times New Roman" w:hAnsi="Times New Roman" w:cs="Times New Roman"/>
                <w:sz w:val="28"/>
                <w:szCs w:val="28"/>
              </w:rPr>
              <w:t>, 6 этап – 2022</w:t>
            </w:r>
            <w:r w:rsidR="007C269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B6B16">
              <w:rPr>
                <w:rFonts w:ascii="Times New Roman" w:hAnsi="Times New Roman" w:cs="Times New Roman"/>
                <w:sz w:val="28"/>
                <w:szCs w:val="28"/>
              </w:rPr>
              <w:t xml:space="preserve">, 7 </w:t>
            </w:r>
            <w:r w:rsidR="002D44CB">
              <w:rPr>
                <w:rFonts w:ascii="Times New Roman" w:hAnsi="Times New Roman" w:cs="Times New Roman"/>
                <w:sz w:val="28"/>
                <w:szCs w:val="28"/>
              </w:rPr>
              <w:t>этап – 2023 год</w:t>
            </w:r>
            <w:r w:rsidR="005B6B16"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F64293">
              <w:rPr>
                <w:rFonts w:ascii="Times New Roman" w:hAnsi="Times New Roman" w:cs="Times New Roman"/>
                <w:sz w:val="28"/>
                <w:szCs w:val="28"/>
              </w:rPr>
              <w:t>, 9 этап - 2025 год</w:t>
            </w:r>
            <w:r w:rsidR="007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4A8C" w:rsidRDefault="00824A8C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программы, </w:t>
            </w:r>
          </w:p>
          <w:p w:rsidR="00824A8C" w:rsidRPr="00824A8C" w:rsidRDefault="00F64293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  <w:r w:rsidR="00EB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912,55328</w:t>
            </w:r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24A8C" w:rsidRPr="00824A8C" w:rsidRDefault="00824A8C" w:rsidP="00824A8C">
            <w:pPr>
              <w:widowControl w:val="0"/>
              <w:tabs>
                <w:tab w:val="left" w:pos="7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  2017 год –</w:t>
            </w:r>
            <w:r w:rsidR="00F64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>41 190,83647 тыс. руб.</w:t>
            </w:r>
          </w:p>
          <w:p w:rsidR="00824A8C" w:rsidRPr="00824A8C" w:rsidRDefault="00824A8C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   2018 год –39 621,41262 тыс. руб.</w:t>
            </w:r>
          </w:p>
          <w:p w:rsidR="00824A8C" w:rsidRPr="00824A8C" w:rsidRDefault="00824A8C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   2019 год –46 671,75601 тыс. руб.</w:t>
            </w:r>
          </w:p>
          <w:p w:rsidR="00824A8C" w:rsidRPr="00824A8C" w:rsidRDefault="00824A8C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   2020 год –43 693,85036 тыс. руб.</w:t>
            </w:r>
          </w:p>
          <w:p w:rsidR="00824A8C" w:rsidRPr="00824A8C" w:rsidRDefault="00824A8C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   2021 год – 41 625,47205 тыс. руб. </w:t>
            </w:r>
          </w:p>
          <w:p w:rsidR="00824A8C" w:rsidRPr="00824A8C" w:rsidRDefault="00EB0132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2022 год – 50 909</w:t>
            </w:r>
            <w:r w:rsidR="00344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3446B3">
              <w:rPr>
                <w:rFonts w:ascii="Times New Roman" w:hAnsi="Times New Roman" w:cs="Times New Roman"/>
                <w:sz w:val="28"/>
                <w:szCs w:val="28"/>
              </w:rPr>
              <w:t>17148</w:t>
            </w:r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24A8C" w:rsidRPr="00824A8C" w:rsidRDefault="00F64293" w:rsidP="00824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2023 год – 38 671,04543</w:t>
            </w:r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D44CB" w:rsidRDefault="00F64293" w:rsidP="0082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2024 год -  35 764,50443</w:t>
            </w:r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4A8C" w:rsidRPr="00824A8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64293" w:rsidRPr="00252FC5" w:rsidRDefault="00F64293" w:rsidP="0082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2025 год -  35 764,50443 тыс. руб.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7945EE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стойчивое и надежное функционирование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</w:t>
            </w:r>
          </w:p>
        </w:tc>
      </w:tr>
    </w:tbl>
    <w:p w:rsidR="006176F8" w:rsidRDefault="006176F8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1.Характеристика проблемы и обоснование необходимости решения ее программными методами</w:t>
      </w:r>
    </w:p>
    <w:p w:rsidR="006176F8" w:rsidRPr="004A0C7C" w:rsidRDefault="006176F8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Особенности жилищно-коммунального комплекса обусловлены его социальной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экономической  значимостью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Социальная значимость жилищно-коммунального комплекса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Экономическая значимость жилищно-коммунального комплекса определяется постоянным потребительским спросом на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  населения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включает в себя широкий круг деятельности по управлению многоотраслевым муниципальным хозяйством  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Основную цель функционирования жилищно-коммунального комплекса можно сформулировать, как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учитываться  при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урове</w:t>
      </w:r>
      <w:r w:rsidR="00F153B5">
        <w:rPr>
          <w:rFonts w:ascii="Times New Roman" w:hAnsi="Times New Roman" w:cs="Times New Roman"/>
          <w:sz w:val="28"/>
          <w:szCs w:val="28"/>
        </w:rPr>
        <w:t xml:space="preserve">нь износа объектов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инфраструктуры,  повысить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8" w:history="1">
        <w:r w:rsidRPr="004A0C7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A0C7C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2.Основные цели,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программы:</w:t>
      </w:r>
    </w:p>
    <w:p w:rsidR="0060796C" w:rsidRDefault="0060796C" w:rsidP="00330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11320E">
        <w:rPr>
          <w:rFonts w:ascii="Times New Roman" w:hAnsi="Times New Roman" w:cs="Times New Roman"/>
          <w:sz w:val="28"/>
          <w:szCs w:val="28"/>
        </w:rPr>
        <w:t>о</w:t>
      </w:r>
      <w:r w:rsidRPr="004A0C7C">
        <w:rPr>
          <w:rFonts w:ascii="Times New Roman" w:hAnsi="Times New Roman" w:cs="Times New Roman"/>
          <w:sz w:val="28"/>
          <w:szCs w:val="28"/>
        </w:rPr>
        <w:t xml:space="preserve">беспечение комплексного развития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  <w:r w:rsidR="0011320E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60796C" w:rsidP="0060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11320E">
        <w:rPr>
          <w:rFonts w:ascii="Times New Roman" w:hAnsi="Times New Roman" w:cs="Times New Roman"/>
        </w:rPr>
        <w:t xml:space="preserve"> </w:t>
      </w:r>
      <w:r w:rsidR="0011320E">
        <w:rPr>
          <w:rFonts w:ascii="Times New Roman" w:hAnsi="Times New Roman" w:cs="Times New Roman"/>
          <w:sz w:val="28"/>
          <w:szCs w:val="28"/>
          <w:lang w:eastAsia="zh-CN"/>
        </w:rPr>
        <w:t xml:space="preserve">обеспечение финансовой устойчивости муниципальных унитарных </w:t>
      </w:r>
      <w:proofErr w:type="gramStart"/>
      <w:r w:rsidR="0011320E">
        <w:rPr>
          <w:rFonts w:ascii="Times New Roman" w:hAnsi="Times New Roman" w:cs="Times New Roman"/>
          <w:sz w:val="28"/>
          <w:szCs w:val="28"/>
          <w:lang w:eastAsia="zh-CN"/>
        </w:rPr>
        <w:t>предприятий</w:t>
      </w:r>
      <w:proofErr w:type="gramEnd"/>
      <w:r w:rsidR="0011320E">
        <w:rPr>
          <w:rFonts w:ascii="Times New Roman" w:hAnsi="Times New Roman" w:cs="Times New Roman"/>
          <w:sz w:val="28"/>
          <w:szCs w:val="28"/>
          <w:lang w:eastAsia="zh-CN"/>
        </w:rPr>
        <w:t xml:space="preserve"> ЗАТО г. Радужный.</w:t>
      </w: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60796C" w:rsidRDefault="0060796C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модернизация объектов коммунальной инфраструктуры   муниципального образования;</w:t>
      </w:r>
    </w:p>
    <w:p w:rsidR="00A72CCB" w:rsidRDefault="0060796C" w:rsidP="00330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снижение тарифной нагрузки для населения;  </w:t>
      </w:r>
    </w:p>
    <w:p w:rsidR="00873F69" w:rsidRDefault="0060796C" w:rsidP="00873F6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издержек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повышения  качества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предоставляемых жилищно-коммунальных услуг</w:t>
      </w:r>
      <w:r w:rsidR="0011320E">
        <w:rPr>
          <w:rFonts w:ascii="Times New Roman" w:hAnsi="Times New Roman" w:cs="Times New Roman"/>
          <w:sz w:val="28"/>
          <w:szCs w:val="28"/>
        </w:rPr>
        <w:t>;</w:t>
      </w:r>
      <w:r w:rsidRPr="004A0C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3F69" w:rsidRDefault="00873F69" w:rsidP="00873F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- повышение эффективности осуществления контроля за деятельностью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</w:t>
      </w:r>
      <w:r w:rsidR="009D6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6535" w:rsidRDefault="009D6535" w:rsidP="009D653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Разработка поэтапных действий:</w:t>
      </w:r>
      <w:r w:rsidR="00A5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E3" w:rsidRDefault="00A554E3" w:rsidP="00A55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выходу из финансового кризиса для  восстановления платежеспособности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E3" w:rsidRDefault="00A554E3" w:rsidP="00A55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по предупреждению процедур, приводящих к банкротству предприятия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554E3" w:rsidRDefault="00A554E3" w:rsidP="009D653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предупреждению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кризисной ситуации МУП в связи </w:t>
      </w:r>
      <w:r>
        <w:rPr>
          <w:rFonts w:ascii="Times New Roman" w:hAnsi="Times New Roman" w:cs="Times New Roman"/>
          <w:sz w:val="28"/>
          <w:szCs w:val="28"/>
        </w:rPr>
        <w:t xml:space="preserve">  с объявленной пандемией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инфекции COVID-19.</w:t>
      </w:r>
    </w:p>
    <w:p w:rsidR="002906AA" w:rsidRPr="004A0C7C" w:rsidRDefault="00873F69" w:rsidP="00873F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жилищно-коммунальном </w:t>
      </w:r>
      <w:proofErr w:type="gramStart"/>
      <w:r w:rsidR="002906AA"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="002906AA"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2906AA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60796C">
        <w:rPr>
          <w:rFonts w:ascii="Times New Roman" w:hAnsi="Times New Roman" w:cs="Times New Roman"/>
          <w:sz w:val="28"/>
          <w:szCs w:val="28"/>
        </w:rPr>
        <w:t xml:space="preserve"> </w:t>
      </w:r>
      <w:r w:rsidR="002906AA" w:rsidRPr="004A0C7C">
        <w:rPr>
          <w:rFonts w:ascii="Times New Roman" w:hAnsi="Times New Roman" w:cs="Times New Roman"/>
          <w:sz w:val="28"/>
          <w:szCs w:val="28"/>
        </w:rPr>
        <w:t>и целей настоящей программы предусматриваются основные направления ее реализации: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всего, социальную направленность, стимулирующую активизацию экономической деятельности города: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 xml:space="preserve">- 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функционирования жилищно-коммунального комплекса,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60796C" w:rsidRDefault="002906AA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      Целевые показатели (индикаторы), критерии оценки программы</w:t>
      </w:r>
      <w:r w:rsidR="0060796C">
        <w:rPr>
          <w:rFonts w:ascii="Times New Roman" w:hAnsi="Times New Roman" w:cs="Times New Roman"/>
          <w:sz w:val="28"/>
          <w:szCs w:val="28"/>
        </w:rPr>
        <w:t>:</w:t>
      </w:r>
      <w:r w:rsidR="0060796C" w:rsidRPr="0060796C">
        <w:rPr>
          <w:rFonts w:ascii="Times New Roman" w:hAnsi="Times New Roman" w:cs="Times New Roman"/>
          <w:sz w:val="28"/>
          <w:szCs w:val="28"/>
        </w:rPr>
        <w:t xml:space="preserve"> </w:t>
      </w:r>
      <w:r w:rsidR="006079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96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доступность для   </w:t>
      </w:r>
      <w:r w:rsidRPr="004A0C7C">
        <w:rPr>
          <w:rFonts w:ascii="Times New Roman" w:hAnsi="Times New Roman" w:cs="Times New Roman"/>
          <w:sz w:val="28"/>
          <w:szCs w:val="28"/>
        </w:rPr>
        <w:t>потребителей товаров и услуг организаций коммунального комплекса;</w:t>
      </w:r>
    </w:p>
    <w:p w:rsidR="00DB2C4F" w:rsidRDefault="00DB2C4F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просроченной кредиторской задолженности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Радужный.</w:t>
      </w:r>
    </w:p>
    <w:p w:rsidR="002906AA" w:rsidRPr="004A0C7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детально ц</w:t>
      </w:r>
      <w:r w:rsidRPr="004A0C7C">
        <w:rPr>
          <w:rFonts w:ascii="Times New Roman" w:hAnsi="Times New Roman" w:cs="Times New Roman"/>
          <w:sz w:val="28"/>
          <w:szCs w:val="28"/>
        </w:rPr>
        <w:t>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6AA" w:rsidRPr="004A0C7C">
        <w:rPr>
          <w:rFonts w:ascii="Times New Roman" w:hAnsi="Times New Roman" w:cs="Times New Roman"/>
          <w:sz w:val="28"/>
          <w:szCs w:val="28"/>
        </w:rPr>
        <w:t>опр</w:t>
      </w:r>
      <w:r w:rsidR="002906AA">
        <w:rPr>
          <w:rFonts w:ascii="Times New Roman" w:hAnsi="Times New Roman" w:cs="Times New Roman"/>
          <w:sz w:val="28"/>
          <w:szCs w:val="28"/>
        </w:rPr>
        <w:t xml:space="preserve">еделены в разделе 2. </w:t>
      </w:r>
      <w:r w:rsidR="002906AA" w:rsidRPr="004D11DE">
        <w:rPr>
          <w:rFonts w:ascii="Times New Roman" w:hAnsi="Times New Roman" w:cs="Times New Roman"/>
          <w:sz w:val="28"/>
          <w:szCs w:val="28"/>
        </w:rPr>
        <w:t>«</w:t>
      </w:r>
      <w:r w:rsidR="002906AA">
        <w:rPr>
          <w:rFonts w:ascii="Times New Roman" w:hAnsi="Times New Roman" w:cs="Times New Roman"/>
          <w:sz w:val="28"/>
          <w:szCs w:val="28"/>
        </w:rPr>
        <w:t>Основные цели,</w:t>
      </w:r>
      <w:r w:rsidR="002906AA" w:rsidRPr="004D11DE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906AA">
        <w:rPr>
          <w:rFonts w:ascii="Times New Roman" w:hAnsi="Times New Roman" w:cs="Times New Roman"/>
          <w:sz w:val="28"/>
          <w:szCs w:val="28"/>
        </w:rPr>
        <w:t xml:space="preserve"> и </w:t>
      </w:r>
      <w:r w:rsidR="002906AA" w:rsidRPr="004D11DE">
        <w:rPr>
          <w:rFonts w:ascii="Times New Roman" w:hAnsi="Times New Roman" w:cs="Times New Roman"/>
          <w:sz w:val="28"/>
          <w:szCs w:val="28"/>
        </w:rPr>
        <w:t>показатели (индикаторы) их достижения, основные ожидаемые конечные результаты подпрограммы, сроки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 и этапы ее реализации» подпрограмм.</w:t>
      </w:r>
    </w:p>
    <w:p w:rsidR="002906AA" w:rsidRPr="000B40FB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ED0C48">
        <w:rPr>
          <w:rFonts w:ascii="Times New Roman" w:hAnsi="Times New Roman" w:cs="Times New Roman"/>
          <w:sz w:val="28"/>
          <w:szCs w:val="28"/>
        </w:rPr>
        <w:t>программы 2017-2025</w:t>
      </w:r>
      <w:r w:rsidR="00195C8D">
        <w:rPr>
          <w:rFonts w:ascii="Times New Roman" w:hAnsi="Times New Roman" w:cs="Times New Roman"/>
          <w:sz w:val="28"/>
          <w:szCs w:val="28"/>
        </w:rPr>
        <w:t xml:space="preserve"> годы: 1 </w:t>
      </w:r>
      <w:r w:rsidRPr="00252FC5"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9D5FF2">
        <w:rPr>
          <w:rFonts w:ascii="Times New Roman" w:hAnsi="Times New Roman" w:cs="Times New Roman"/>
          <w:sz w:val="28"/>
          <w:szCs w:val="28"/>
        </w:rPr>
        <w:t xml:space="preserve">2017 </w:t>
      </w:r>
      <w:proofErr w:type="gramStart"/>
      <w:r w:rsidR="009D5FF2">
        <w:rPr>
          <w:rFonts w:ascii="Times New Roman" w:hAnsi="Times New Roman" w:cs="Times New Roman"/>
          <w:sz w:val="28"/>
          <w:szCs w:val="28"/>
        </w:rPr>
        <w:t xml:space="preserve">год, </w:t>
      </w:r>
      <w:r w:rsidRPr="00252FC5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252FC5">
        <w:rPr>
          <w:rFonts w:ascii="Times New Roman" w:hAnsi="Times New Roman" w:cs="Times New Roman"/>
          <w:sz w:val="28"/>
          <w:szCs w:val="28"/>
        </w:rPr>
        <w:t xml:space="preserve"> этап – 2018 год, 3 этап – 2019 год</w:t>
      </w:r>
      <w:r w:rsidR="000B40FB" w:rsidRPr="00252FC5">
        <w:rPr>
          <w:rFonts w:ascii="Times New Roman" w:hAnsi="Times New Roman" w:cs="Times New Roman"/>
          <w:sz w:val="28"/>
          <w:szCs w:val="28"/>
        </w:rPr>
        <w:t>, 4 этап -2020 год</w:t>
      </w:r>
      <w:r w:rsidR="003F1188">
        <w:rPr>
          <w:rFonts w:ascii="Times New Roman" w:hAnsi="Times New Roman" w:cs="Times New Roman"/>
          <w:sz w:val="28"/>
          <w:szCs w:val="28"/>
        </w:rPr>
        <w:t>, 5 этап – 2021</w:t>
      </w:r>
      <w:r w:rsidR="003F1188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8D">
        <w:rPr>
          <w:rFonts w:ascii="Times New Roman" w:hAnsi="Times New Roman" w:cs="Times New Roman"/>
          <w:sz w:val="28"/>
          <w:szCs w:val="28"/>
        </w:rPr>
        <w:t>, 6 этап – 2022</w:t>
      </w:r>
      <w:r w:rsidR="00F84F8D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2D44CB">
        <w:rPr>
          <w:rFonts w:ascii="Times New Roman" w:hAnsi="Times New Roman" w:cs="Times New Roman"/>
          <w:sz w:val="28"/>
          <w:szCs w:val="28"/>
        </w:rPr>
        <w:t>, 7  этап – 2023 год</w:t>
      </w:r>
      <w:r w:rsidR="00195C8D">
        <w:rPr>
          <w:rFonts w:ascii="Times New Roman" w:hAnsi="Times New Roman" w:cs="Times New Roman"/>
          <w:sz w:val="28"/>
          <w:szCs w:val="28"/>
        </w:rPr>
        <w:t>, 8 этап -2024 год</w:t>
      </w:r>
      <w:r w:rsidR="009D5FF2">
        <w:rPr>
          <w:rFonts w:ascii="Times New Roman" w:hAnsi="Times New Roman" w:cs="Times New Roman"/>
          <w:sz w:val="28"/>
          <w:szCs w:val="28"/>
        </w:rPr>
        <w:t xml:space="preserve">, </w:t>
      </w:r>
      <w:r w:rsidR="00E540FA">
        <w:rPr>
          <w:rFonts w:ascii="Times New Roman" w:hAnsi="Times New Roman" w:cs="Times New Roman"/>
          <w:sz w:val="28"/>
          <w:szCs w:val="28"/>
        </w:rPr>
        <w:t>9 этап – 2025 год</w:t>
      </w:r>
      <w:r w:rsidR="00F84F8D">
        <w:rPr>
          <w:rFonts w:ascii="Times New Roman" w:hAnsi="Times New Roman" w:cs="Times New Roman"/>
          <w:sz w:val="28"/>
          <w:szCs w:val="28"/>
        </w:rPr>
        <w:t xml:space="preserve"> </w:t>
      </w:r>
      <w:r w:rsidR="003F1188">
        <w:rPr>
          <w:rFonts w:ascii="Times New Roman" w:hAnsi="Times New Roman" w:cs="Times New Roman"/>
          <w:sz w:val="28"/>
          <w:szCs w:val="28"/>
        </w:rPr>
        <w:t>.</w:t>
      </w:r>
    </w:p>
    <w:p w:rsidR="002906AA" w:rsidRPr="00981AE9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25E" w:rsidRDefault="0099425E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99425E" w:rsidSect="00041D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10" w:right="851" w:bottom="295" w:left="1418" w:header="709" w:footer="709" w:gutter="0"/>
          <w:cols w:space="708"/>
          <w:titlePg/>
          <w:docGrid w:linePitch="360"/>
        </w:sectPr>
      </w:pPr>
    </w:p>
    <w:p w:rsidR="002906AA" w:rsidRDefault="008C75EC" w:rsidP="0085702B">
      <w:pPr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3. Ресурсное обеспечение реализации программы</w:t>
      </w:r>
    </w:p>
    <w:tbl>
      <w:tblPr>
        <w:tblW w:w="161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5"/>
        <w:gridCol w:w="4248"/>
        <w:gridCol w:w="1559"/>
        <w:gridCol w:w="2018"/>
        <w:gridCol w:w="1258"/>
        <w:gridCol w:w="1758"/>
        <w:gridCol w:w="1965"/>
        <w:gridCol w:w="1081"/>
        <w:gridCol w:w="1701"/>
      </w:tblGrid>
      <w:tr w:rsidR="000852F1" w:rsidRPr="000852F1" w:rsidTr="000852F1">
        <w:trPr>
          <w:trHeight w:val="48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 исполнения</w:t>
            </w:r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финансирования,   </w:t>
            </w:r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(тыс. руб.)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49275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49275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Исполнители, </w:t>
            </w:r>
            <w:proofErr w:type="gramStart"/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соисполнители,  ответственные</w:t>
            </w:r>
            <w:proofErr w:type="gramEnd"/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за реализацию  программы</w:t>
            </w: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Собственных доходов: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C44ED4">
        <w:trPr>
          <w:trHeight w:val="7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Субсидии, иные межбюджетные, трансферты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собственные доходы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852F1" w:rsidRPr="000852F1" w:rsidTr="00BF6E0F">
        <w:trPr>
          <w:trHeight w:val="80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9B23C5" w:rsidRDefault="000852F1" w:rsidP="009B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«Жилищно-коммунальный комплекс</w:t>
            </w:r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</w:t>
            </w: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г. </w:t>
            </w:r>
            <w:r w:rsidR="009B23C5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Радужный Владимирской </w:t>
            </w:r>
            <w:proofErr w:type="gramStart"/>
            <w:r w:rsidR="009B23C5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r w:rsid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BF6E0F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ГКМХ</w:t>
            </w:r>
          </w:p>
        </w:tc>
      </w:tr>
      <w:tr w:rsidR="00153FA2" w:rsidRPr="00252FC5" w:rsidTr="00FE0EEC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252FC5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E540FA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FB0A6D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373 912,55328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FE0EEC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1615,1</w:t>
            </w:r>
            <w:r w:rsidR="00EB0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FB0A6D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372 297,45328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3FA2" w:rsidRPr="00252FC5" w:rsidTr="00FE0EEC">
        <w:trPr>
          <w:trHeight w:val="223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252FC5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годам:</w:t>
            </w:r>
          </w:p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41 190,83647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41 190,83647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3FA2" w:rsidRPr="00252FC5" w:rsidTr="00FE0EEC">
        <w:trPr>
          <w:trHeight w:val="24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A2" w:rsidRPr="00252F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39 621,41262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39 621,41262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3FA2" w:rsidRPr="00252FC5" w:rsidTr="00FE0EEC">
        <w:trPr>
          <w:trHeight w:val="259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A2" w:rsidRPr="00252F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46 671,75601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46 671,75601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3FA2" w:rsidRPr="00252FC5" w:rsidTr="00FE0EEC">
        <w:trPr>
          <w:trHeight w:val="277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252FC5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43 693,85036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153FA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43 693,85036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3FA2" w:rsidRPr="00252FC5" w:rsidTr="00FE0EEC">
        <w:trPr>
          <w:trHeight w:val="28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252FC5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41 625,47205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153FA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</w:rPr>
              <w:t>41 625,47205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3FA2" w:rsidRPr="00252FC5" w:rsidTr="00FE0EEC">
        <w:trPr>
          <w:trHeight w:val="1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252FC5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9B23C5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B0132">
              <w:rPr>
                <w:rFonts w:ascii="Times New Roman" w:hAnsi="Times New Roman" w:cs="Times New Roman"/>
              </w:rPr>
              <w:t>50</w:t>
            </w:r>
            <w:r w:rsidR="009F3D91">
              <w:rPr>
                <w:rFonts w:ascii="Times New Roman" w:hAnsi="Times New Roman" w:cs="Times New Roman"/>
              </w:rPr>
              <w:t xml:space="preserve"> </w:t>
            </w:r>
            <w:r w:rsidR="00EB0132">
              <w:rPr>
                <w:rFonts w:ascii="Times New Roman" w:hAnsi="Times New Roman" w:cs="Times New Roman"/>
              </w:rPr>
              <w:t>909</w:t>
            </w:r>
            <w:r w:rsidR="0098204C">
              <w:rPr>
                <w:rFonts w:ascii="Times New Roman" w:hAnsi="Times New Roman" w:cs="Times New Roman"/>
              </w:rPr>
              <w:t>,17148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3F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153FA2" w:rsidRDefault="00FE0EEC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1615,1</w:t>
            </w:r>
            <w:r w:rsidR="00EB0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B0132">
              <w:rPr>
                <w:rFonts w:ascii="Times New Roman" w:hAnsi="Times New Roman" w:cs="Times New Roman"/>
              </w:rPr>
              <w:t>49 294</w:t>
            </w:r>
            <w:r w:rsidR="0098204C">
              <w:rPr>
                <w:rFonts w:ascii="Times New Roman" w:hAnsi="Times New Roman" w:cs="Times New Roman"/>
              </w:rPr>
              <w:t>,07148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53FA2" w:rsidRPr="00252FC5" w:rsidTr="00FE0EEC">
        <w:trPr>
          <w:trHeight w:val="147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04B1">
              <w:rPr>
                <w:rFonts w:ascii="Times New Roman" w:hAnsi="Times New Roman" w:cs="Times New Roman"/>
              </w:rPr>
              <w:t>38 671,04543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153FA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FA2" w:rsidRPr="00153FA2" w:rsidRDefault="00FE0EEC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40FA">
              <w:rPr>
                <w:rFonts w:ascii="Times New Roman" w:hAnsi="Times New Roman" w:cs="Times New Roman"/>
              </w:rPr>
              <w:t>38 671,04543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3FA2" w:rsidRPr="00252FC5" w:rsidTr="00FE0EEC">
        <w:trPr>
          <w:trHeight w:val="307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Default="00153FA2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FA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764A12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A6D">
              <w:rPr>
                <w:rFonts w:ascii="Times New Roman" w:hAnsi="Times New Roman" w:cs="Times New Roman"/>
              </w:rPr>
              <w:t>35 754,50443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153FA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FA2" w:rsidRPr="00153FA2" w:rsidRDefault="00FE0EEC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FA2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40FA">
              <w:rPr>
                <w:rFonts w:ascii="Times New Roman" w:hAnsi="Times New Roman" w:cs="Times New Roman"/>
              </w:rPr>
              <w:t>35 754,50443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FA2" w:rsidRPr="00764A12" w:rsidRDefault="00153FA2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A2" w:rsidRPr="00BF6E0F" w:rsidRDefault="00153FA2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40FA" w:rsidRPr="00252FC5" w:rsidTr="00FE0EEC">
        <w:trPr>
          <w:trHeight w:val="307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FA" w:rsidRDefault="00E540FA" w:rsidP="0015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0FA" w:rsidRDefault="00E540FA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FA" w:rsidRDefault="00E540FA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0FA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A6D">
              <w:rPr>
                <w:rFonts w:ascii="Times New Roman" w:hAnsi="Times New Roman" w:cs="Times New Roman"/>
              </w:rPr>
              <w:t>35 754,50443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FA" w:rsidRPr="00153FA2" w:rsidRDefault="00E540FA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0FA" w:rsidRDefault="00E540FA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0FA" w:rsidRPr="00153FA2" w:rsidRDefault="00CF05D5" w:rsidP="00153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="00E540FA">
              <w:rPr>
                <w:rFonts w:ascii="Times New Roman" w:hAnsi="Times New Roman" w:cs="Times New Roman"/>
              </w:rPr>
              <w:t>5 754,50443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0FA" w:rsidRPr="00764A12" w:rsidRDefault="00E540FA" w:rsidP="00153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FA" w:rsidRPr="00BF6E0F" w:rsidRDefault="00E540FA" w:rsidP="0015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52F1" w:rsidRPr="00252FC5" w:rsidTr="00D14143">
        <w:trPr>
          <w:trHeight w:val="82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2F1" w:rsidRPr="009B23C5" w:rsidRDefault="00492751" w:rsidP="00BF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852F1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одпрограмма «Развитие жилищно-коммунального комплекса </w:t>
            </w:r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gramStart"/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proofErr w:type="gramEnd"/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52F1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ЗАТО г. Радужный Владимирской области</w:t>
            </w:r>
            <w:r w:rsidR="000852F1"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BF6E0F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ГКМХ</w:t>
            </w:r>
          </w:p>
        </w:tc>
      </w:tr>
      <w:tr w:rsidR="00F264A8" w:rsidRPr="00252FC5" w:rsidTr="00F264A8">
        <w:trPr>
          <w:trHeight w:val="22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D230AF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8" w:rsidRPr="00764A12" w:rsidRDefault="00CF05D5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CF05D5" w:rsidP="00F264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365 382,43643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E0EEC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  <w:r w:rsidR="00F264A8"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4A8"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CF05D5" w:rsidP="00F264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363 767,33643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BF6E0F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64A8" w:rsidRPr="00252FC5" w:rsidTr="00F264A8">
        <w:trPr>
          <w:trHeight w:val="231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D230AF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41 188,07843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41 188,07843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64A8" w:rsidRPr="00252FC5" w:rsidTr="00F264A8">
        <w:trPr>
          <w:trHeight w:val="23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39 621,41262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39 621,41262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64A8" w:rsidRPr="00252FC5" w:rsidTr="00F264A8">
        <w:trPr>
          <w:trHeight w:val="253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46 671,75601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46 671,75601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64A8" w:rsidRPr="00252FC5" w:rsidTr="00F264A8">
        <w:trPr>
          <w:trHeight w:val="28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492751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2020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38 066,49155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492751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4A8" w:rsidRPr="00492751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38 066,49155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4A8" w:rsidRPr="00252FC5" w:rsidTr="00F264A8">
        <w:trPr>
          <w:trHeight w:val="119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492751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38 725,47205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492751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4A8" w:rsidRPr="00492751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0,0 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F264A8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38 725,47205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64A8" w:rsidRPr="00252FC5" w:rsidTr="00F264A8">
        <w:trPr>
          <w:trHeight w:val="15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252FC5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252F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EB0132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50 909</w:t>
            </w:r>
            <w:r w:rsidR="00A757B0">
              <w:rPr>
                <w:rFonts w:ascii="Times New Roman" w:hAnsi="Times New Roman" w:cs="Times New Roman"/>
                <w:color w:val="000000"/>
              </w:rPr>
              <w:t>,17148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764A12" w:rsidRDefault="00EE6A50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  <w:r w:rsidR="00F264A8"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4A8"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EB0132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49 294</w:t>
            </w:r>
            <w:r w:rsidR="00A757B0">
              <w:rPr>
                <w:rFonts w:ascii="Times New Roman" w:hAnsi="Times New Roman" w:cs="Times New Roman"/>
                <w:color w:val="000000"/>
              </w:rPr>
              <w:t>,07148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64A8" w:rsidRPr="00252FC5" w:rsidTr="00F264A8">
        <w:trPr>
          <w:trHeight w:val="14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Default="00F264A8" w:rsidP="00F26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4A8" w:rsidRPr="009B23C5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CF05D5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38 671,04543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4A8" w:rsidRPr="00764A12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F264A8" w:rsidRDefault="00CF05D5" w:rsidP="00F264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38 671,04543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A8" w:rsidRPr="00764A12" w:rsidRDefault="00F264A8" w:rsidP="00F26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A8" w:rsidRPr="00252FC5" w:rsidRDefault="00F264A8" w:rsidP="00F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05D5" w:rsidRPr="00252FC5" w:rsidTr="00F264A8">
        <w:trPr>
          <w:trHeight w:val="16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Default="00CF05D5" w:rsidP="00CF0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D5" w:rsidRPr="009B23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F264A8" w:rsidRDefault="00CF05D5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35 764,50443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F264A8" w:rsidRDefault="00CF05D5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35 764,50443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252FC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05D5" w:rsidRPr="00252FC5" w:rsidTr="00F264A8">
        <w:trPr>
          <w:trHeight w:val="16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Default="00CF05D5" w:rsidP="00CF0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D5" w:rsidRPr="009B23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F264A8" w:rsidRDefault="00CF05D5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35 764,50443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F264A8" w:rsidRDefault="00CF05D5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35 764,50443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252FC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05D5" w:rsidRPr="00252FC5" w:rsidTr="00C44ED4">
        <w:trPr>
          <w:trHeight w:val="177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D5" w:rsidRPr="009B23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"Ведомственная программа "Строительный контроль при выполнении работ по капитальному </w:t>
            </w:r>
            <w:proofErr w:type="gramStart"/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 общего</w:t>
            </w:r>
            <w:proofErr w:type="gramEnd"/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 в многоквартирных домах, расположенных на территории ЗАТО г. Радужный"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D5" w:rsidRPr="00252FC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ГКМХ</w:t>
            </w:r>
          </w:p>
        </w:tc>
      </w:tr>
      <w:tr w:rsidR="00CF05D5" w:rsidRPr="00252FC5" w:rsidTr="00ED0C48">
        <w:trPr>
          <w:trHeight w:val="35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9B23C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05D5" w:rsidRPr="00252FC5" w:rsidTr="0027391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D5" w:rsidRPr="009B23C5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05D5" w:rsidRPr="00252FC5" w:rsidTr="00273912">
        <w:trPr>
          <w:trHeight w:val="3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05D5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05D5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05D5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05D5" w:rsidRPr="00252FC5" w:rsidTr="00ED0C48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F05D5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D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D5" w:rsidRDefault="00CF05D5" w:rsidP="00CF05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0DF2" w:rsidRPr="00252FC5" w:rsidTr="00CC0DF2">
        <w:trPr>
          <w:trHeight w:val="301"/>
        </w:trPr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F2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DF2" w:rsidRDefault="00CC0DF2" w:rsidP="00CF05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252FC5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0DF2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F2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F2" w:rsidRDefault="00CC0DF2" w:rsidP="00CF05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F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DF2" w:rsidRDefault="00CC0DF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764A12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DF2" w:rsidRPr="00252FC5" w:rsidRDefault="00CC0DF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05D5" w:rsidRPr="00252FC5" w:rsidTr="00841B1E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« </w:t>
            </w:r>
            <w:r w:rsidRPr="009B23C5">
              <w:rPr>
                <w:rFonts w:ascii="Times New Roman" w:hAnsi="Times New Roman" w:cs="Times New Roman"/>
                <w:color w:val="000000"/>
              </w:rPr>
              <w:t>Финансовое</w:t>
            </w:r>
            <w:proofErr w:type="gramEnd"/>
            <w:r w:rsidRPr="009B23C5">
              <w:rPr>
                <w:rFonts w:ascii="Times New Roman" w:hAnsi="Times New Roman" w:cs="Times New Roman"/>
                <w:color w:val="000000"/>
              </w:rPr>
              <w:t xml:space="preserve"> оздоровление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</w:rPr>
              <w:t>, учредителем которых является администрация</w:t>
            </w:r>
            <w:r w:rsidRPr="009B23C5">
              <w:rPr>
                <w:rFonts w:ascii="Times New Roman" w:hAnsi="Times New Roman" w:cs="Times New Roman"/>
                <w:color w:val="000000"/>
              </w:rPr>
              <w:t xml:space="preserve"> ЗАТО г. Радужный Владимирской области»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764A12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5D5" w:rsidRPr="00252FC5" w:rsidRDefault="00CF05D5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F264A8">
        <w:trPr>
          <w:trHeight w:val="30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2020-2025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8527,35881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8527,35881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F264A8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5627,35881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764A12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5627,35881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F264A8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492751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2900,00000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492751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492751" w:rsidRDefault="00273912" w:rsidP="00CF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F264A8" w:rsidRDefault="00273912" w:rsidP="00CF05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64A8">
              <w:rPr>
                <w:rFonts w:ascii="Times New Roman" w:hAnsi="Times New Roman" w:cs="Times New Roman"/>
                <w:color w:val="000000"/>
              </w:rPr>
              <w:t>2900,00000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CF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3C0F6B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C44ED4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E03C64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C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D44CB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764A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273912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Pr="00E03C64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D44CB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3912" w:rsidRPr="00252FC5" w:rsidTr="000C4B11">
        <w:trPr>
          <w:trHeight w:val="301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D44CB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12" w:rsidRPr="00492751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Default="00273912" w:rsidP="0027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912" w:rsidRPr="00252FC5" w:rsidRDefault="00273912" w:rsidP="00273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70D08" w:rsidRDefault="00570D08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570D08" w:rsidSect="006603E2">
          <w:pgSz w:w="16838" w:h="11906" w:orient="landscape" w:code="9"/>
          <w:pgMar w:top="1077" w:right="510" w:bottom="851" w:left="340" w:header="709" w:footer="709" w:gutter="0"/>
          <w:cols w:space="708"/>
          <w:docGrid w:linePitch="360"/>
        </w:sectPr>
      </w:pP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Мероприятия муниципальной программы</w:t>
      </w: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C5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 в приложениях к подпрограммам.</w:t>
      </w: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63" w:rsidRDefault="00BF5363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Pr="00252FC5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3371A" w:rsidRPr="00252FC5" w:rsidSect="00BF5363">
          <w:pgSz w:w="11906" w:h="16838" w:code="9"/>
          <w:pgMar w:top="510" w:right="851" w:bottom="295" w:left="1418" w:header="709" w:footer="709" w:gutter="0"/>
          <w:cols w:space="708"/>
          <w:docGrid w:linePitch="360"/>
        </w:sectPr>
      </w:pPr>
    </w:p>
    <w:p w:rsidR="002906AA" w:rsidRPr="00252FC5" w:rsidRDefault="002906AA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33371A">
        <w:rPr>
          <w:rFonts w:ascii="Times New Roman" w:hAnsi="Times New Roman" w:cs="Times New Roman"/>
          <w:b/>
          <w:bCs/>
          <w:sz w:val="28"/>
          <w:szCs w:val="28"/>
        </w:rPr>
        <w:t>одпрограмма</w:t>
      </w:r>
    </w:p>
    <w:p w:rsidR="002906AA" w:rsidRDefault="00FD7EE1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жилищно-коммунального комплекса </w:t>
      </w:r>
      <w:r w:rsidR="00AA7F7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 w:rsidR="00AA7F7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="00AA7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 w:rsidR="002906AA" w:rsidRPr="00BF1A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371A" w:rsidRPr="00BF1AD9" w:rsidRDefault="0033371A" w:rsidP="0033371A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XSpec="center" w:tblpY="898"/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6363"/>
      </w:tblGrid>
      <w:tr w:rsidR="002906AA" w:rsidRPr="004A0C7C" w:rsidTr="000C4B11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33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Наименование  подпрограммы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0C4B11" w:rsidRDefault="002906AA" w:rsidP="000C4B11">
            <w:pPr>
              <w:autoSpaceDE w:val="0"/>
              <w:autoSpaceDN w:val="0"/>
              <w:adjustRightInd w:val="0"/>
              <w:spacing w:after="0" w:line="240" w:lineRule="auto"/>
              <w:ind w:left="36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жилищно-коммунального комплекса</w:t>
            </w:r>
            <w:r w:rsidR="00AA7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gramStart"/>
            <w:r w:rsidR="00AA7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территории </w:t>
            </w:r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</w:t>
            </w:r>
            <w:proofErr w:type="gramEnd"/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Радужный Владимирской области»</w:t>
            </w:r>
          </w:p>
        </w:tc>
      </w:tr>
      <w:tr w:rsidR="002906AA" w:rsidRPr="004A0C7C" w:rsidTr="000C4B1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ГКМХ»  </w:t>
            </w:r>
            <w:proofErr w:type="gramEnd"/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1207AA" w:rsidP="006079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</w:tc>
      </w:tr>
      <w:tr w:rsidR="002906AA" w:rsidRPr="004A0C7C" w:rsidTr="000C4B11">
        <w:trPr>
          <w:trHeight w:val="2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объектов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  муниципального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                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снижение тарифной нагрузки для населения;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создание условий для </w:t>
            </w:r>
            <w:r w:rsidR="00C637AD">
              <w:rPr>
                <w:rFonts w:ascii="Times New Roman" w:hAnsi="Times New Roman" w:cs="Times New Roman"/>
                <w:sz w:val="28"/>
                <w:szCs w:val="28"/>
              </w:rPr>
              <w:t xml:space="preserve">снижения издержек и повышения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предоставляемых жилищно-коммунальных услуг   </w:t>
            </w:r>
          </w:p>
        </w:tc>
      </w:tr>
      <w:tr w:rsidR="002906AA" w:rsidRPr="004A0C7C" w:rsidTr="000C4B11">
        <w:trPr>
          <w:trHeight w:val="40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- Доля потребителей, обеспеченных доступом к коммунальной инфраструктуре </w:t>
            </w:r>
            <w:proofErr w:type="gramStart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в  муниципальном</w:t>
            </w:r>
            <w:proofErr w:type="gramEnd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Соответствие фактически сложившегося роста платы граждан за коммунальные услуги установленному субъектом Федерации;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      </w:r>
          </w:p>
          <w:p w:rsidR="002906AA" w:rsidRPr="004A0C7C" w:rsidRDefault="00C637AD" w:rsidP="007F772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неэффективных предприятий жилищно-коммунального хозяйства</w:t>
            </w:r>
          </w:p>
        </w:tc>
      </w:tr>
      <w:tr w:rsidR="002906AA" w:rsidRPr="004A0C7C" w:rsidTr="000C4B11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ED0C48" w:rsidP="00C037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1 этап – 2017 год,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2 этап – 2018 год, 3 этап – 2019 год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4 этап – 2020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D606D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84F8D">
              <w:rPr>
                <w:rFonts w:ascii="Times New Roman" w:hAnsi="Times New Roman" w:cs="Times New Roman"/>
                <w:sz w:val="28"/>
                <w:szCs w:val="28"/>
              </w:rPr>
              <w:t>,  6 этап – 2022</w:t>
            </w:r>
            <w:r w:rsidR="00F84F8D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D44CB">
              <w:rPr>
                <w:rFonts w:ascii="Times New Roman" w:hAnsi="Times New Roman" w:cs="Times New Roman"/>
                <w:sz w:val="28"/>
                <w:szCs w:val="28"/>
              </w:rPr>
              <w:t>, 7 этап – 2023 год</w:t>
            </w:r>
            <w:r w:rsidR="001816E6"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273912">
              <w:rPr>
                <w:rFonts w:ascii="Times New Roman" w:hAnsi="Times New Roman" w:cs="Times New Roman"/>
                <w:sz w:val="28"/>
                <w:szCs w:val="28"/>
              </w:rPr>
              <w:t>, 9 этап -2025 год</w:t>
            </w:r>
            <w:r w:rsidR="00F84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бюджетных ассигнований подпрограммы, в том числе по годам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106D" w:rsidRPr="000B106D" w:rsidRDefault="001816E6" w:rsidP="000B10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06D" w:rsidRPr="000B106D">
              <w:rPr>
                <w:rFonts w:asciiTheme="minorHAnsi" w:eastAsiaTheme="minorHAnsi" w:hAnsiTheme="minorHAnsi" w:cstheme="minorBidi"/>
                <w:kern w:val="2"/>
                <w:sz w:val="28"/>
                <w:szCs w:val="28"/>
              </w:rPr>
              <w:t xml:space="preserve"> </w:t>
            </w:r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  <w:r w:rsidR="0027391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составляет 365 382,</w:t>
            </w:r>
            <w:proofErr w:type="gramStart"/>
            <w:r w:rsidR="00273912">
              <w:rPr>
                <w:rFonts w:ascii="Times New Roman" w:hAnsi="Times New Roman" w:cs="Times New Roman"/>
                <w:sz w:val="28"/>
                <w:szCs w:val="28"/>
              </w:rPr>
              <w:t>43643</w:t>
            </w:r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2017 год – 41 188,</w:t>
            </w:r>
            <w:proofErr w:type="gramStart"/>
            <w:r w:rsidRPr="000B106D">
              <w:rPr>
                <w:rFonts w:ascii="Times New Roman" w:hAnsi="Times New Roman" w:cs="Times New Roman"/>
                <w:sz w:val="28"/>
                <w:szCs w:val="28"/>
              </w:rPr>
              <w:t>07843  тыс.</w:t>
            </w:r>
            <w:proofErr w:type="gramEnd"/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2018 год – 39 621,41262 тыс. руб.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2019 год – 46 671,75601 тыс. руб.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 2020 год – 38 066,49155 тыс. руб.    </w:t>
            </w:r>
          </w:p>
          <w:p w:rsidR="000B106D" w:rsidRPr="000B106D" w:rsidRDefault="000B106D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 2021 год – 38 725,47205 тыс. руб. </w:t>
            </w:r>
          </w:p>
          <w:p w:rsidR="000B106D" w:rsidRPr="000B106D" w:rsidRDefault="009F3D91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0132">
              <w:rPr>
                <w:rFonts w:ascii="Times New Roman" w:hAnsi="Times New Roman" w:cs="Times New Roman"/>
                <w:sz w:val="28"/>
                <w:szCs w:val="28"/>
              </w:rPr>
              <w:t>2022 год – 50 909</w:t>
            </w:r>
            <w:r w:rsidR="00F21ABE">
              <w:rPr>
                <w:rFonts w:ascii="Times New Roman" w:hAnsi="Times New Roman" w:cs="Times New Roman"/>
                <w:sz w:val="28"/>
                <w:szCs w:val="28"/>
              </w:rPr>
              <w:t>,17148</w:t>
            </w:r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B106D" w:rsidRPr="000B106D" w:rsidRDefault="00273912" w:rsidP="000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2023 год -  38 671,04543</w:t>
            </w:r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>руб..</w:t>
            </w:r>
            <w:proofErr w:type="gramEnd"/>
            <w:r w:rsidR="000B106D"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4CB" w:rsidRDefault="000B106D" w:rsidP="000B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3912">
              <w:rPr>
                <w:rFonts w:ascii="Times New Roman" w:hAnsi="Times New Roman" w:cs="Times New Roman"/>
                <w:sz w:val="28"/>
                <w:szCs w:val="28"/>
              </w:rPr>
              <w:t>2024 год – 35 764,50443</w:t>
            </w: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73912" w:rsidRPr="00252FC5" w:rsidRDefault="00273912" w:rsidP="000B1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2025 год – 35 764,50443</w:t>
            </w:r>
            <w:r w:rsidRPr="000B1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2906AA" w:rsidRPr="004A0C7C" w:rsidTr="00C475E0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- повышение качества и доступности предоставляемых жилищных и коммунальных   услуг                                                 </w:t>
            </w:r>
          </w:p>
        </w:tc>
      </w:tr>
    </w:tbl>
    <w:p w:rsidR="00D775CA" w:rsidRDefault="00D775CA" w:rsidP="002D3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1.Характеристика проблемы и обоснование необходимости решения</w:t>
      </w:r>
      <w:r w:rsidR="00FF0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160D" w:rsidRDefault="0061160D" w:rsidP="0061160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ее программными методами</w:t>
      </w:r>
    </w:p>
    <w:p w:rsidR="006176F8" w:rsidRPr="004A0C7C" w:rsidRDefault="006176F8" w:rsidP="0061160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Особенности жилищно-коммунального комплекса обусловлены его социальной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экономической  значимостью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Социальная значимость жилищно-коммунального комплекса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Экономическая значимость жилищно-коммунального комплекса определяется постоянным потребительским спросом на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 населения,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включает в себя широкий круг деятельности по управлению многоотраслевым муниципальным хозяйством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Основную цель функционирования жилищно-коммунального комплекса можно сформулировать, как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, </w:t>
      </w:r>
      <w:r w:rsidRPr="004A0C7C">
        <w:rPr>
          <w:rFonts w:ascii="Times New Roman" w:hAnsi="Times New Roman" w:cs="Times New Roman"/>
          <w:sz w:val="28"/>
          <w:szCs w:val="28"/>
        </w:rPr>
        <w:lastRenderedPageBreak/>
        <w:t>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учитываться  при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уровня износа объектов коммунальной инфраструктуры до 50 процентов, повысить</w:t>
      </w:r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2.Основные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цели,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подпрограммы,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подпрограммы:</w:t>
      </w:r>
    </w:p>
    <w:p w:rsidR="002906AA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</w:rPr>
        <w:t xml:space="preserve">- </w:t>
      </w:r>
      <w:r w:rsidR="00C637AD" w:rsidRPr="004A0C7C">
        <w:rPr>
          <w:rFonts w:ascii="Times New Roman" w:hAnsi="Times New Roman" w:cs="Times New Roman"/>
          <w:sz w:val="28"/>
          <w:szCs w:val="28"/>
        </w:rPr>
        <w:t xml:space="preserve">Обеспечение комплексного развития коммунальной </w:t>
      </w:r>
      <w:proofErr w:type="gramStart"/>
      <w:r w:rsidR="00C637AD"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="00C637AD"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C637A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C637AD"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  <w:r w:rsidRPr="004A0C7C">
        <w:rPr>
          <w:rFonts w:ascii="Times New Roman" w:hAnsi="Times New Roman" w:cs="Times New Roman"/>
          <w:sz w:val="28"/>
          <w:szCs w:val="28"/>
        </w:rPr>
        <w:t>.</w:t>
      </w:r>
    </w:p>
    <w:p w:rsidR="00C637AD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-модернизация объектов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уменьшение тарифной нагрузки для населения;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создание условий для снижения издержек и повышения качества</w:t>
      </w:r>
      <w:r w:rsidRPr="004A0C7C">
        <w:rPr>
          <w:rFonts w:ascii="Times New Roman" w:hAnsi="Times New Roman" w:cs="Times New Roman"/>
          <w:sz w:val="28"/>
          <w:szCs w:val="28"/>
        </w:rPr>
        <w:br/>
        <w:t>предоставляемых жилищно-коммунальных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Основными целевыми показателями (индикаторами) реализации муниципальной программы являются:</w:t>
      </w:r>
    </w:p>
    <w:p w:rsidR="002906AA" w:rsidRPr="00C637AD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 xml:space="preserve">- </w:t>
      </w:r>
      <w:r w:rsidR="00C637AD" w:rsidRPr="00C637AD">
        <w:rPr>
          <w:rFonts w:ascii="Times New Roman" w:hAnsi="Times New Roman" w:cs="Times New Roman"/>
          <w:sz w:val="28"/>
          <w:szCs w:val="28"/>
        </w:rPr>
        <w:t xml:space="preserve">Доля потребителей, обеспеченных доступом к коммунальной инфраструктуре </w:t>
      </w:r>
      <w:proofErr w:type="gramStart"/>
      <w:r w:rsidR="00C637AD" w:rsidRPr="00C637AD"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 w:rsidR="00C637AD" w:rsidRPr="00C637AD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C637AD">
        <w:rPr>
          <w:rFonts w:ascii="Times New Roman" w:hAnsi="Times New Roman" w:cs="Times New Roman"/>
          <w:sz w:val="28"/>
          <w:szCs w:val="28"/>
        </w:rPr>
        <w:t>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Соответствие фактически сложившегося роста платы граждан за коммунальные услуги установленному субъектом Федерации;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неэффективных предприятий жилищно-коммунального хозяйства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анализа существующего положения дел в жилищно-коммунальном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A0C7C">
        <w:rPr>
          <w:rFonts w:ascii="Times New Roman" w:hAnsi="Times New Roman" w:cs="Times New Roman"/>
          <w:sz w:val="28"/>
          <w:szCs w:val="28"/>
        </w:rPr>
        <w:t>и целей настоящей программы предусматриваются основные направления ее реализации:</w:t>
      </w:r>
    </w:p>
    <w:p w:rsidR="00560861" w:rsidRDefault="002906AA" w:rsidP="002D4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6B19FE" w:rsidP="00C43853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8"/>
          <w:szCs w:val="28"/>
        </w:rPr>
        <w:t>Целевые показатели (индикаторы)</w:t>
      </w:r>
      <w:r w:rsidR="002906AA" w:rsidRPr="00D16824">
        <w:rPr>
          <w:rFonts w:ascii="Times New Roman" w:hAnsi="Times New Roman"/>
          <w:color w:val="000000"/>
          <w:sz w:val="28"/>
          <w:szCs w:val="28"/>
        </w:rPr>
        <w:t xml:space="preserve"> подпрограммы</w:t>
      </w:r>
      <w:r w:rsidR="002906AA" w:rsidRPr="004A0C7C">
        <w:rPr>
          <w:rFonts w:ascii="Times New Roman" w:hAnsi="Times New Roman"/>
          <w:color w:val="000000"/>
          <w:sz w:val="25"/>
          <w:szCs w:val="25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624"/>
        <w:gridCol w:w="1049"/>
        <w:gridCol w:w="1041"/>
        <w:gridCol w:w="285"/>
        <w:gridCol w:w="850"/>
        <w:gridCol w:w="992"/>
        <w:gridCol w:w="992"/>
        <w:gridCol w:w="1135"/>
      </w:tblGrid>
      <w:tr w:rsidR="002906AA" w:rsidRPr="004A0C7C" w:rsidTr="006B19FE">
        <w:tc>
          <w:tcPr>
            <w:tcW w:w="603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4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1049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5" w:type="dxa"/>
            <w:gridSpan w:val="6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</w:t>
            </w:r>
            <w:r w:rsidR="00C637AD" w:rsidRPr="004A0C7C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0E29" w:rsidRPr="004A0C7C" w:rsidTr="006B19FE">
        <w:trPr>
          <w:trHeight w:val="666"/>
        </w:trPr>
        <w:tc>
          <w:tcPr>
            <w:tcW w:w="603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35" w:type="dxa"/>
            <w:gridSpan w:val="2"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vAlign w:val="center"/>
          </w:tcPr>
          <w:p w:rsidR="00430E29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FE">
              <w:rPr>
                <w:rFonts w:ascii="Times New Roman" w:hAnsi="Times New Roman" w:cs="Times New Roman"/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6B19FE" w:rsidRPr="004A0C7C" w:rsidTr="006B19FE">
        <w:tc>
          <w:tcPr>
            <w:tcW w:w="603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6B19FE" w:rsidRPr="004A0C7C" w:rsidRDefault="00273912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5" w:type="dxa"/>
            <w:gridSpan w:val="2"/>
            <w:vAlign w:val="center"/>
          </w:tcPr>
          <w:p w:rsidR="006B19FE" w:rsidRPr="004A0C7C" w:rsidRDefault="00273912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B19FE" w:rsidRPr="00714BB5" w:rsidRDefault="00235C70" w:rsidP="006B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vAlign w:val="center"/>
          </w:tcPr>
          <w:p w:rsidR="006B19FE" w:rsidRPr="00714BB5" w:rsidRDefault="006B19FE" w:rsidP="002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5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2D44CB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5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9FE" w:rsidRPr="004A0C7C" w:rsidTr="006B19FE">
        <w:tc>
          <w:tcPr>
            <w:tcW w:w="603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06AA" w:rsidRPr="004A0C7C" w:rsidTr="00430E29">
        <w:trPr>
          <w:trHeight w:val="452"/>
        </w:trPr>
        <w:tc>
          <w:tcPr>
            <w:tcW w:w="9571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территориальной доступности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Доля потребителей, обеспеченных доступом к коммунальной инфраструктуре </w:t>
            </w:r>
            <w:proofErr w:type="gramStart"/>
            <w:r w:rsidRPr="004A0C7C">
              <w:rPr>
                <w:rFonts w:ascii="Times New Roman" w:hAnsi="Times New Roman" w:cs="Times New Roman"/>
              </w:rPr>
              <w:t>в  муниципальном</w:t>
            </w:r>
            <w:proofErr w:type="gramEnd"/>
            <w:r w:rsidRPr="004A0C7C">
              <w:rPr>
                <w:rFonts w:ascii="Times New Roman" w:hAnsi="Times New Roman" w:cs="Times New Roman"/>
              </w:rPr>
              <w:t xml:space="preserve"> образовании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экономической доступности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Соответствие фактически сложившегося роста платы граждан за коммунальные услуги установленному субъектом Федерации 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≥1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4A0C7C" w:rsidRDefault="002906AA" w:rsidP="002D3FB7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</w:rPr>
              <w:t>3.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неэффективных расходов на жилищно-коммунальное хозяйство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 w:rsidRPr="004A0C7C">
              <w:rPr>
                <w:rFonts w:ascii="Times New Roman" w:hAnsi="Times New Roman" w:cs="Times New Roman"/>
              </w:rPr>
              <w:t>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образования*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4A0C7C" w:rsidRDefault="002E5E39" w:rsidP="002E5E39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2906AA" w:rsidRPr="004A0C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06AA"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 эффективных организаций жилищно-коммунального хозяйства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не</w:t>
            </w:r>
            <w:r w:rsidRPr="004A0C7C">
              <w:rPr>
                <w:rFonts w:ascii="Times New Roman" w:hAnsi="Times New Roman" w:cs="Times New Roman"/>
              </w:rPr>
              <w:t>эффективных предприятий жилищно-коммунального хозяйства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06AA" w:rsidRPr="004A0C7C" w:rsidRDefault="002906AA" w:rsidP="00C8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*Неэффективным расходованием бюджетных средств в области жилищно-коммунального хозяйства является направление бюджетных средств на компенсацию организациям жилищно-коммунальной сферы разницы между экономически обоснованными тарифами и тарифами, установленными для населения и на покрытие убытков организаций жилищно-коммунального хозяйства, возникших в связи с применением регулируемых цен на жилищно-коммунальные услуги.</w:t>
      </w:r>
    </w:p>
    <w:p w:rsidR="002906AA" w:rsidRPr="004A0C7C" w:rsidRDefault="002906AA" w:rsidP="00C47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ED0C48">
        <w:rPr>
          <w:rFonts w:ascii="Times New Roman" w:hAnsi="Times New Roman" w:cs="Times New Roman"/>
          <w:sz w:val="28"/>
          <w:szCs w:val="28"/>
        </w:rPr>
        <w:t>подпрограммы 2017-2025</w:t>
      </w:r>
      <w:r w:rsidRPr="004A0C7C">
        <w:rPr>
          <w:rFonts w:ascii="Times New Roman" w:hAnsi="Times New Roman" w:cs="Times New Roman"/>
          <w:sz w:val="28"/>
          <w:szCs w:val="28"/>
        </w:rPr>
        <w:t xml:space="preserve"> годы: 1 этап – 2017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год,  2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этап – 2018 год, 3 этап – 2019 год</w:t>
      </w:r>
      <w:r w:rsidR="00B307E9" w:rsidRPr="00252FC5">
        <w:rPr>
          <w:rFonts w:ascii="Times New Roman" w:hAnsi="Times New Roman" w:cs="Times New Roman"/>
          <w:sz w:val="28"/>
          <w:szCs w:val="28"/>
        </w:rPr>
        <w:t>, 4 этап – 2020 год</w:t>
      </w:r>
      <w:r w:rsidR="00040BDC">
        <w:rPr>
          <w:rFonts w:ascii="Times New Roman" w:hAnsi="Times New Roman" w:cs="Times New Roman"/>
          <w:sz w:val="28"/>
          <w:szCs w:val="28"/>
        </w:rPr>
        <w:t>,</w:t>
      </w:r>
      <w:r w:rsidR="00FB7B33" w:rsidRPr="00FB7B33">
        <w:rPr>
          <w:rFonts w:ascii="Times New Roman" w:hAnsi="Times New Roman" w:cs="Times New Roman"/>
          <w:sz w:val="28"/>
          <w:szCs w:val="28"/>
        </w:rPr>
        <w:t xml:space="preserve"> </w:t>
      </w:r>
      <w:r w:rsidR="00FB7B33">
        <w:rPr>
          <w:rFonts w:ascii="Times New Roman" w:hAnsi="Times New Roman" w:cs="Times New Roman"/>
          <w:sz w:val="28"/>
          <w:szCs w:val="28"/>
        </w:rPr>
        <w:t xml:space="preserve"> 5 этап – 2021</w:t>
      </w:r>
      <w:r w:rsidR="00FB7B33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E50A9D">
        <w:rPr>
          <w:rFonts w:ascii="Times New Roman" w:hAnsi="Times New Roman" w:cs="Times New Roman"/>
          <w:sz w:val="28"/>
          <w:szCs w:val="28"/>
        </w:rPr>
        <w:t>, 6 этап – 2022 год</w:t>
      </w:r>
      <w:r w:rsidR="002D44CB">
        <w:rPr>
          <w:rFonts w:ascii="Times New Roman" w:hAnsi="Times New Roman" w:cs="Times New Roman"/>
          <w:sz w:val="28"/>
          <w:szCs w:val="28"/>
        </w:rPr>
        <w:t xml:space="preserve">, 7 этап </w:t>
      </w:r>
      <w:r w:rsidR="00F45817">
        <w:rPr>
          <w:rFonts w:ascii="Times New Roman" w:hAnsi="Times New Roman" w:cs="Times New Roman"/>
          <w:sz w:val="28"/>
          <w:szCs w:val="28"/>
        </w:rPr>
        <w:t>–</w:t>
      </w:r>
      <w:r w:rsidR="002D44CB">
        <w:rPr>
          <w:rFonts w:ascii="Times New Roman" w:hAnsi="Times New Roman" w:cs="Times New Roman"/>
          <w:sz w:val="28"/>
          <w:szCs w:val="28"/>
        </w:rPr>
        <w:t xml:space="preserve"> 2023</w:t>
      </w:r>
      <w:r w:rsidR="00F45817">
        <w:rPr>
          <w:rFonts w:ascii="Times New Roman" w:hAnsi="Times New Roman" w:cs="Times New Roman"/>
          <w:sz w:val="28"/>
          <w:szCs w:val="28"/>
        </w:rPr>
        <w:t>год, 8 этап – 2024 год</w:t>
      </w:r>
      <w:r w:rsidR="00235C70">
        <w:rPr>
          <w:rFonts w:ascii="Times New Roman" w:hAnsi="Times New Roman" w:cs="Times New Roman"/>
          <w:sz w:val="28"/>
          <w:szCs w:val="28"/>
        </w:rPr>
        <w:t>, 9 этап – 2025 год</w:t>
      </w:r>
      <w:r w:rsidR="00FB7B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6AA" w:rsidRPr="004A0C7C" w:rsidRDefault="002906AA" w:rsidP="002D3FB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реализации подпрограммы</w:t>
      </w:r>
    </w:p>
    <w:tbl>
      <w:tblPr>
        <w:tblStyle w:val="ac"/>
        <w:tblW w:w="9853" w:type="dxa"/>
        <w:tblLayout w:type="fixed"/>
        <w:tblLook w:val="04A0" w:firstRow="1" w:lastRow="0" w:firstColumn="1" w:lastColumn="0" w:noHBand="0" w:noVBand="1"/>
      </w:tblPr>
      <w:tblGrid>
        <w:gridCol w:w="374"/>
        <w:gridCol w:w="1719"/>
        <w:gridCol w:w="992"/>
        <w:gridCol w:w="1701"/>
        <w:gridCol w:w="284"/>
        <w:gridCol w:w="1417"/>
        <w:gridCol w:w="1559"/>
        <w:gridCol w:w="750"/>
        <w:gridCol w:w="1057"/>
      </w:tblGrid>
      <w:tr w:rsidR="001F5F9E" w:rsidRPr="001F5F9E" w:rsidTr="003C4B69">
        <w:tc>
          <w:tcPr>
            <w:tcW w:w="374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19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992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 (по годам</w:t>
            </w:r>
          </w:p>
        </w:tc>
        <w:tc>
          <w:tcPr>
            <w:tcW w:w="1701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</w:t>
            </w:r>
          </w:p>
        </w:tc>
        <w:tc>
          <w:tcPr>
            <w:tcW w:w="4010" w:type="dxa"/>
            <w:gridSpan w:val="4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057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Исполнители, соисполнители</w:t>
            </w:r>
          </w:p>
        </w:tc>
      </w:tr>
      <w:tr w:rsidR="001F5F9E" w:rsidRPr="001F5F9E" w:rsidTr="003C4B69">
        <w:tc>
          <w:tcPr>
            <w:tcW w:w="37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2976" w:type="dxa"/>
            <w:gridSpan w:val="2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доходы</w:t>
            </w:r>
          </w:p>
        </w:tc>
        <w:tc>
          <w:tcPr>
            <w:tcW w:w="750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057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3C4B69">
        <w:trPr>
          <w:trHeight w:val="2507"/>
        </w:trPr>
        <w:tc>
          <w:tcPr>
            <w:tcW w:w="37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9E" w:rsidRPr="001F5F9E" w:rsidRDefault="001F5F9E" w:rsidP="001F5F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Субсидии,</w:t>
            </w:r>
          </w:p>
          <w:p w:rsidR="001F5F9E" w:rsidRPr="001F5F9E" w:rsidRDefault="001F5F9E" w:rsidP="001F5F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</w:t>
            </w:r>
          </w:p>
          <w:p w:rsidR="001F5F9E" w:rsidRPr="001F5F9E" w:rsidRDefault="001F5F9E" w:rsidP="001F5F9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</w:p>
        </w:tc>
        <w:tc>
          <w:tcPr>
            <w:tcW w:w="1559" w:type="dxa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собственные доходы</w:t>
            </w:r>
          </w:p>
        </w:tc>
        <w:tc>
          <w:tcPr>
            <w:tcW w:w="750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C475E0" w:rsidTr="003C4B69">
        <w:trPr>
          <w:cantSplit/>
          <w:trHeight w:val="2619"/>
        </w:trPr>
        <w:tc>
          <w:tcPr>
            <w:tcW w:w="374" w:type="dxa"/>
          </w:tcPr>
          <w:p w:rsidR="001705DE" w:rsidRPr="00C475E0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1705DE" w:rsidRPr="00C475E0" w:rsidRDefault="001F5F9E" w:rsidP="00C475E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</w:rPr>
              <w:t xml:space="preserve">«Развитие жилищно-коммунального комплекса </w:t>
            </w:r>
            <w:r w:rsidR="007F772A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="007F772A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="007F772A">
              <w:rPr>
                <w:rFonts w:ascii="Times New Roman" w:hAnsi="Times New Roman" w:cs="Times New Roman"/>
              </w:rPr>
              <w:t xml:space="preserve"> </w:t>
            </w:r>
            <w:r w:rsidRPr="00C475E0">
              <w:rPr>
                <w:rFonts w:ascii="Times New Roman" w:hAnsi="Times New Roman" w:cs="Times New Roman"/>
              </w:rPr>
              <w:t>ЗАТО г. Радужный Владимирской области»</w:t>
            </w:r>
          </w:p>
        </w:tc>
        <w:tc>
          <w:tcPr>
            <w:tcW w:w="992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textDirection w:val="btLr"/>
          </w:tcPr>
          <w:p w:rsidR="001705DE" w:rsidRPr="00C475E0" w:rsidRDefault="001F5F9E" w:rsidP="001F5F9E">
            <w:pPr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  <w:bCs/>
                <w:sz w:val="24"/>
                <w:szCs w:val="24"/>
              </w:rPr>
              <w:t>МКУ «ГКМХ»</w:t>
            </w:r>
          </w:p>
        </w:tc>
      </w:tr>
      <w:tr w:rsidR="00C475E0" w:rsidRPr="001F5F9E" w:rsidTr="003C4B69">
        <w:trPr>
          <w:trHeight w:val="486"/>
        </w:trPr>
        <w:tc>
          <w:tcPr>
            <w:tcW w:w="374" w:type="dxa"/>
          </w:tcPr>
          <w:p w:rsidR="001705DE" w:rsidRPr="001F5F9E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:rsidR="001705D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05DE" w:rsidRPr="001F5F9E" w:rsidRDefault="00235C7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2017-2025</w:t>
            </w:r>
          </w:p>
        </w:tc>
        <w:tc>
          <w:tcPr>
            <w:tcW w:w="1701" w:type="dxa"/>
          </w:tcPr>
          <w:p w:rsidR="001705DE" w:rsidRPr="003C4B69" w:rsidRDefault="00C12C4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365 382,43643</w:t>
            </w:r>
            <w:r w:rsidR="003C4B69" w:rsidRPr="003C4B69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84" w:type="dxa"/>
          </w:tcPr>
          <w:p w:rsidR="001705DE" w:rsidRPr="00CD455D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705DE" w:rsidRPr="00CD455D" w:rsidRDefault="00E71189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1615,10</w:t>
            </w:r>
          </w:p>
        </w:tc>
        <w:tc>
          <w:tcPr>
            <w:tcW w:w="1559" w:type="dxa"/>
          </w:tcPr>
          <w:p w:rsidR="001705DE" w:rsidRPr="00CD455D" w:rsidRDefault="00C12C4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363 767,33643</w:t>
            </w:r>
            <w:r w:rsidR="003C4B69" w:rsidRPr="003C4B6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50" w:type="dxa"/>
          </w:tcPr>
          <w:p w:rsidR="001705DE" w:rsidRPr="00764A12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1705DE" w:rsidRPr="001F5F9E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 w:val="restart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по годам</w:t>
            </w:r>
          </w:p>
        </w:tc>
        <w:tc>
          <w:tcPr>
            <w:tcW w:w="992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  <w:r w:rsidRPr="00E81D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4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  <w:r w:rsidRPr="00E81D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50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39 621,41262</w:t>
            </w:r>
          </w:p>
        </w:tc>
        <w:tc>
          <w:tcPr>
            <w:tcW w:w="284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659F2" w:rsidRPr="00E81D2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39 621,41262</w:t>
            </w:r>
          </w:p>
        </w:tc>
        <w:tc>
          <w:tcPr>
            <w:tcW w:w="750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7659F2" w:rsidRPr="00CD455D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455D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284" w:type="dxa"/>
          </w:tcPr>
          <w:p w:rsidR="007659F2" w:rsidRPr="00CD455D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CD455D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659F2" w:rsidRPr="00CD455D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455D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750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7659F2" w:rsidRPr="00CD455D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44EA6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Pr="00244EA6">
              <w:rPr>
                <w:rFonts w:ascii="Times New Roman" w:hAnsi="Times New Roman" w:cs="Times New Roman"/>
              </w:rPr>
              <w:t>066,49155</w:t>
            </w:r>
          </w:p>
        </w:tc>
        <w:tc>
          <w:tcPr>
            <w:tcW w:w="284" w:type="dxa"/>
          </w:tcPr>
          <w:p w:rsidR="007659F2" w:rsidRPr="00CD455D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CD455D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659F2" w:rsidRPr="00CD455D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44EA6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Pr="00244EA6">
              <w:rPr>
                <w:rFonts w:ascii="Times New Roman" w:hAnsi="Times New Roman" w:cs="Times New Roman"/>
              </w:rPr>
              <w:t>066,49155</w:t>
            </w:r>
          </w:p>
        </w:tc>
        <w:tc>
          <w:tcPr>
            <w:tcW w:w="750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C4B69">
              <w:rPr>
                <w:rFonts w:ascii="Times New Roman" w:hAnsi="Times New Roman" w:cs="Times New Roman"/>
                <w:bCs/>
              </w:rPr>
              <w:t>38 725,47205</w:t>
            </w:r>
          </w:p>
        </w:tc>
        <w:tc>
          <w:tcPr>
            <w:tcW w:w="284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C4B69">
              <w:rPr>
                <w:rFonts w:ascii="Times New Roman" w:hAnsi="Times New Roman" w:cs="Times New Roman"/>
                <w:bCs/>
              </w:rPr>
              <w:t>38 725,47205</w:t>
            </w:r>
          </w:p>
        </w:tc>
        <w:tc>
          <w:tcPr>
            <w:tcW w:w="750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59F2" w:rsidRPr="001F5F9E" w:rsidTr="003C4B69">
        <w:tc>
          <w:tcPr>
            <w:tcW w:w="374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50 909,17148</w:t>
            </w:r>
          </w:p>
        </w:tc>
        <w:tc>
          <w:tcPr>
            <w:tcW w:w="284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1615,10</w:t>
            </w:r>
          </w:p>
        </w:tc>
        <w:tc>
          <w:tcPr>
            <w:tcW w:w="1559" w:type="dxa"/>
          </w:tcPr>
          <w:p w:rsidR="007659F2" w:rsidRPr="00AE46C4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49 294,07148</w:t>
            </w:r>
          </w:p>
        </w:tc>
        <w:tc>
          <w:tcPr>
            <w:tcW w:w="750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659F2" w:rsidRPr="001F5F9E" w:rsidRDefault="007659F2" w:rsidP="003C4B6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6F9" w:rsidRPr="001F5F9E" w:rsidTr="00D85E1A">
        <w:trPr>
          <w:trHeight w:val="303"/>
        </w:trPr>
        <w:tc>
          <w:tcPr>
            <w:tcW w:w="374" w:type="dxa"/>
            <w:vMerge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38 671,04543</w:t>
            </w:r>
          </w:p>
        </w:tc>
        <w:tc>
          <w:tcPr>
            <w:tcW w:w="284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38 671,04543</w:t>
            </w:r>
          </w:p>
        </w:tc>
        <w:tc>
          <w:tcPr>
            <w:tcW w:w="750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6F9" w:rsidRPr="001F5F9E" w:rsidTr="00D85E1A">
        <w:trPr>
          <w:trHeight w:val="303"/>
        </w:trPr>
        <w:tc>
          <w:tcPr>
            <w:tcW w:w="374" w:type="dxa"/>
            <w:vMerge w:val="restart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76F9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35 764,50443</w:t>
            </w:r>
          </w:p>
        </w:tc>
        <w:tc>
          <w:tcPr>
            <w:tcW w:w="284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35 764,50443</w:t>
            </w:r>
          </w:p>
        </w:tc>
        <w:tc>
          <w:tcPr>
            <w:tcW w:w="750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6F9" w:rsidRPr="001F5F9E" w:rsidTr="00D85E1A">
        <w:trPr>
          <w:trHeight w:val="303"/>
        </w:trPr>
        <w:tc>
          <w:tcPr>
            <w:tcW w:w="374" w:type="dxa"/>
            <w:vMerge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35 764,50443</w:t>
            </w:r>
          </w:p>
        </w:tc>
        <w:tc>
          <w:tcPr>
            <w:tcW w:w="284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A76F9" w:rsidRPr="00AE46C4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6F9" w:rsidRPr="00F264A8" w:rsidRDefault="00FA76F9" w:rsidP="00FA76F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35 764,50443</w:t>
            </w:r>
          </w:p>
        </w:tc>
        <w:tc>
          <w:tcPr>
            <w:tcW w:w="750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FA76F9" w:rsidRPr="001F5F9E" w:rsidRDefault="00FA76F9" w:rsidP="00FA76F9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06AA" w:rsidRPr="00BF1AD9" w:rsidRDefault="002906AA" w:rsidP="00C475E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2906AA" w:rsidRPr="004A0C7C" w:rsidRDefault="002906AA" w:rsidP="00D73C9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33371A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9F9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9079F9" w:rsidRDefault="009079F9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«Ведомственная программа «Строительный контроль при выполнении работ по капитальному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ремонту  общего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в многоквартирных домах, расположенных на территории ЗАТО г. Радужный Владимирской области»</w:t>
      </w:r>
    </w:p>
    <w:p w:rsidR="0033371A" w:rsidRDefault="0033371A" w:rsidP="00333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33371A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6525"/>
      </w:tblGrid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«Ведомственная программа «Строительный контроль при выполнении работ по капитальному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ремонту  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в многоквартирных домах, расположенных на территории ЗАТО г. Радужный Владимирской области»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МКУ «ГКМХ»)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полном соответствии с требованиями действующего законодательства </w:t>
            </w:r>
          </w:p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 w:rsidP="007F77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1.Соблюдение  подрядными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правилами.</w:t>
            </w:r>
          </w:p>
          <w:p w:rsidR="009079F9" w:rsidRDefault="009079F9" w:rsidP="007F77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Исключение несоответствия по качеству работ, поставок, технологической дисциплине.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B06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079F9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9079F9">
              <w:rPr>
                <w:rFonts w:ascii="Times New Roman" w:hAnsi="Times New Roman" w:cs="Times New Roman"/>
                <w:sz w:val="28"/>
                <w:szCs w:val="28"/>
              </w:rPr>
              <w:t>, в том числе: 1 этап – 2017 год, 2 этап – 2018 год, 3 этап – 2019 год, 4 этап – 2020 год, 5 этап – 2021 год, 6 этап –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 этап – 2023 год</w:t>
            </w:r>
            <w:r w:rsidR="007F772A"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FA76F9">
              <w:rPr>
                <w:rFonts w:ascii="Times New Roman" w:hAnsi="Times New Roman" w:cs="Times New Roman"/>
                <w:sz w:val="28"/>
                <w:szCs w:val="28"/>
              </w:rPr>
              <w:t>, 9 этап – 2025 год.</w:t>
            </w:r>
          </w:p>
        </w:tc>
      </w:tr>
      <w:tr w:rsidR="009079F9" w:rsidTr="009079F9">
        <w:trPr>
          <w:cantSplit/>
          <w:trHeight w:val="979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 w:rsidP="00C05F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подпрограммы, в том числе по годам:</w:t>
            </w:r>
            <w:r w:rsidR="00C05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составит – 2,75804 рублей, в том числе по годам:</w:t>
            </w:r>
          </w:p>
          <w:p w:rsidR="00ED0C48" w:rsidRDefault="00185E48" w:rsidP="00ED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  <w:r w:rsidR="00907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gramEnd"/>
            <w:r w:rsidR="00907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F10">
              <w:rPr>
                <w:rFonts w:ascii="Times New Roman" w:hAnsi="Times New Roman" w:cs="Times New Roman"/>
                <w:sz w:val="28"/>
                <w:szCs w:val="28"/>
              </w:rPr>
              <w:t xml:space="preserve">2,75804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C05F1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C05F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ED0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-2025</w:t>
            </w:r>
            <w:r w:rsidR="00C05F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ED0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ы–</w:t>
            </w:r>
            <w:r w:rsidR="00ED0C48">
              <w:rPr>
                <w:rFonts w:ascii="Times New Roman" w:hAnsi="Times New Roman" w:cs="Times New Roman"/>
                <w:sz w:val="28"/>
                <w:szCs w:val="28"/>
              </w:rPr>
              <w:t xml:space="preserve"> 0 тыс. руб.</w:t>
            </w:r>
          </w:p>
          <w:p w:rsidR="009079F9" w:rsidRDefault="009079F9" w:rsidP="00BC7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9F9" w:rsidTr="009079F9">
        <w:trPr>
          <w:cantSplit/>
          <w:trHeight w:val="72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проводимых ремонтных работ, работ по реконструкции, строительству на муниципальных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Некоммерческой организацией «Фонд капитального ремонта многоквартирных домов Владимирской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  торги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выбор организаций на осуществление строительного контроля при выполнении работ по капитальному ремонту  многоквартирных домов. МКУ «ГКМХ» выступает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участником 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торгов, а затем организацией, осуществляющей  строительный контроль при выполнении  работ по капитальному ремонту многоквартирных домов по результатам торгов.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ГКМХ»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заключаются договоры  с другими организациями на осуществление строительного контроля.</w:t>
      </w:r>
    </w:p>
    <w:p w:rsidR="009079F9" w:rsidRDefault="009079F9" w:rsidP="00907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экономическими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перечисляются в доход местного бюджета.  Следовательно, для выполнения программных мероприятий необходимо привлечение бюджетных финансовых средств,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превышать доходов, полученных МКУ «ГКМХ» за услуги  по   строительному  контролю при выполнении работ по капитальному ремонту  многоквартирных домов.</w:t>
      </w:r>
    </w:p>
    <w:p w:rsidR="009079F9" w:rsidRDefault="009079F9" w:rsidP="00907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МКУ «ГКМХ»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заключаются  соглашения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осуществление строительного контроля с учреждениями, финансируемыми из бюджета ЗАТО г. Радужный. Такие соглашения являются безвозмездными.</w:t>
      </w:r>
    </w:p>
    <w:p w:rsidR="009079F9" w:rsidRDefault="009079F9" w:rsidP="00907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2.Основные цели,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(индикаторы) их достижения, основные ожидаемые конечные результаты подпрограммы, сроки и этапы ее реализации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Программы: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строительного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контроля 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 соответствии с требованиями действующего законодательства. 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Соблюдение  подрядными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качества выполняемых работ по ремонту, в том числе и капитальному, на объектах в полном соответствии со сметной документацией, строительными нормами и правилами.</w:t>
      </w:r>
    </w:p>
    <w:p w:rsidR="009079F9" w:rsidRDefault="009079F9" w:rsidP="0090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Исключение несоответствия по качеству работ, поставок, технологической дисциплине.</w:t>
      </w: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E0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Сроки р</w:t>
      </w:r>
      <w:r w:rsidR="00C939AB">
        <w:rPr>
          <w:rFonts w:ascii="Times New Roman" w:hAnsi="Times New Roman" w:cs="Times New Roman"/>
          <w:sz w:val="28"/>
          <w:szCs w:val="28"/>
        </w:rPr>
        <w:t>еализации подпрограммы 2017-2025</w:t>
      </w:r>
      <w:r>
        <w:rPr>
          <w:rFonts w:ascii="Times New Roman" w:hAnsi="Times New Roman" w:cs="Times New Roman"/>
          <w:sz w:val="28"/>
          <w:szCs w:val="28"/>
        </w:rPr>
        <w:t xml:space="preserve"> годы, 1 э</w:t>
      </w:r>
      <w:r w:rsidR="00C434E6">
        <w:rPr>
          <w:rFonts w:ascii="Times New Roman" w:hAnsi="Times New Roman" w:cs="Times New Roman"/>
          <w:sz w:val="28"/>
          <w:szCs w:val="28"/>
        </w:rPr>
        <w:t>тап – 2017 год; 2 этап – 2018 год,</w:t>
      </w:r>
      <w:r>
        <w:rPr>
          <w:rFonts w:ascii="Times New Roman" w:hAnsi="Times New Roman" w:cs="Times New Roman"/>
          <w:sz w:val="28"/>
          <w:szCs w:val="28"/>
        </w:rPr>
        <w:t xml:space="preserve"> 3 этап – 2019 г</w:t>
      </w:r>
      <w:r w:rsidR="00C434E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4 этап – 2020 г</w:t>
      </w:r>
      <w:r w:rsidR="00C434E6">
        <w:rPr>
          <w:rFonts w:ascii="Times New Roman" w:hAnsi="Times New Roman" w:cs="Times New Roman"/>
          <w:sz w:val="28"/>
          <w:szCs w:val="28"/>
        </w:rPr>
        <w:t>од, 5 этап – 2021 год, 6 этап – 2022 год</w:t>
      </w:r>
      <w:r w:rsidR="0033371A">
        <w:rPr>
          <w:rFonts w:ascii="Times New Roman" w:hAnsi="Times New Roman" w:cs="Times New Roman"/>
          <w:sz w:val="28"/>
          <w:szCs w:val="28"/>
        </w:rPr>
        <w:t xml:space="preserve">, 7 этап – 2023 </w:t>
      </w:r>
      <w:r w:rsidR="00D14143">
        <w:rPr>
          <w:rFonts w:ascii="Times New Roman" w:hAnsi="Times New Roman" w:cs="Times New Roman"/>
          <w:sz w:val="28"/>
          <w:szCs w:val="28"/>
        </w:rPr>
        <w:t>г</w:t>
      </w:r>
      <w:r w:rsidR="00C434E6">
        <w:rPr>
          <w:rFonts w:ascii="Times New Roman" w:hAnsi="Times New Roman" w:cs="Times New Roman"/>
          <w:sz w:val="28"/>
          <w:szCs w:val="28"/>
        </w:rPr>
        <w:t>од</w:t>
      </w:r>
      <w:r w:rsidR="004C74B3">
        <w:rPr>
          <w:rFonts w:ascii="Times New Roman" w:hAnsi="Times New Roman" w:cs="Times New Roman"/>
          <w:sz w:val="28"/>
          <w:szCs w:val="28"/>
        </w:rPr>
        <w:t>, 8 этап -2024 г</w:t>
      </w:r>
      <w:r w:rsidR="00C434E6">
        <w:rPr>
          <w:rFonts w:ascii="Times New Roman" w:hAnsi="Times New Roman" w:cs="Times New Roman"/>
          <w:sz w:val="28"/>
          <w:szCs w:val="28"/>
        </w:rPr>
        <w:t>од, 9 этап -2025 год</w:t>
      </w:r>
      <w:r w:rsidR="00D14143">
        <w:rPr>
          <w:rFonts w:ascii="Times New Roman" w:hAnsi="Times New Roman" w:cs="Times New Roman"/>
          <w:sz w:val="28"/>
          <w:szCs w:val="28"/>
        </w:rPr>
        <w:t>.</w:t>
      </w:r>
    </w:p>
    <w:p w:rsidR="00C475E0" w:rsidRDefault="00C475E0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(индикаторы)</w:t>
      </w:r>
    </w:p>
    <w:p w:rsidR="009079F9" w:rsidRDefault="009079F9" w:rsidP="009079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подпрограммы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осуществлению строительного контроля 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134"/>
        <w:gridCol w:w="1134"/>
        <w:gridCol w:w="1275"/>
      </w:tblGrid>
      <w:tr w:rsidR="00430E29" w:rsidTr="00430E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  <w:p w:rsidR="00430E29" w:rsidRDefault="00C05F10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год</w:t>
            </w:r>
          </w:p>
          <w:p w:rsidR="00430E29" w:rsidRDefault="00C05F10" w:rsidP="00C4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 w:rsidRPr="00430E29">
              <w:rPr>
                <w:rFonts w:ascii="Times New Roman" w:hAnsi="Times New Roman" w:cs="Times New Roman"/>
              </w:rPr>
              <w:t xml:space="preserve">Плановый период </w:t>
            </w:r>
            <w:r>
              <w:rPr>
                <w:rFonts w:ascii="Times New Roman" w:hAnsi="Times New Roman" w:cs="Times New Roman"/>
              </w:rPr>
              <w:t>реализации подп</w:t>
            </w:r>
            <w:r w:rsidRPr="00430E29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430E29" w:rsidTr="00430E29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C4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05F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C05F10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C05F10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30E29" w:rsidTr="00430E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C475E0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79F9" w:rsidRDefault="009079F9" w:rsidP="009079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79F9" w:rsidRDefault="009079F9" w:rsidP="009079F9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203"/>
        <w:gridCol w:w="709"/>
        <w:gridCol w:w="1559"/>
        <w:gridCol w:w="567"/>
        <w:gridCol w:w="850"/>
        <w:gridCol w:w="1418"/>
        <w:gridCol w:w="567"/>
        <w:gridCol w:w="1417"/>
      </w:tblGrid>
      <w:tr w:rsidR="009079F9" w:rsidTr="00E81D2E">
        <w:trPr>
          <w:trHeight w:val="20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9079F9" w:rsidTr="00E81D2E">
        <w:trPr>
          <w:trHeight w:val="268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9F9" w:rsidTr="00E81D2E">
        <w:trPr>
          <w:trHeight w:val="335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9F9" w:rsidTr="00E81D2E">
        <w:trPr>
          <w:trHeight w:val="21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Ведомственная программа «Строительный контроль при выполнении работ по капитальному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ремонту  общего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в многоквартирных домах, расположенных на территории ЗАТО г. Радужный»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C05F10" w:rsidP="00C05F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2017-2025</w:t>
            </w:r>
            <w:r w:rsidR="00C434E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«ГКМХ»</w:t>
            </w:r>
          </w:p>
        </w:tc>
      </w:tr>
      <w:tr w:rsidR="009079F9" w:rsidTr="00E81D2E">
        <w:trPr>
          <w:trHeight w:val="67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D2E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D2E" w:rsidRDefault="00E81D2E" w:rsidP="00E81D2E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2E" w:rsidRDefault="00E81D2E" w:rsidP="00E81D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72A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72A" w:rsidRDefault="007F772A" w:rsidP="00E81D2E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2A" w:rsidRDefault="007F772A" w:rsidP="00E81D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F10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F10" w:rsidRDefault="00C05F10" w:rsidP="00E81D2E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10" w:rsidRDefault="00C05F10" w:rsidP="00E81D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10" w:rsidRDefault="00C05F10" w:rsidP="00E81D2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79F9" w:rsidRDefault="009079F9" w:rsidP="00B652DE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9079F9" w:rsidRDefault="009079F9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AC2632" w:rsidRDefault="00AC2632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C2632" w:rsidRDefault="00AC2632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0578D" w:rsidRDefault="00B652DE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Подпрограмма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«Финансовое оздоровление муниципальных унитарных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предприятий,  учредителем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является 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ЗАТО г. Радужный </w:t>
      </w:r>
    </w:p>
    <w:p w:rsidR="00B652DE" w:rsidRDefault="00B652DE" w:rsidP="00B652DE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Y="462"/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6686"/>
      </w:tblGrid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подпрограммы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«Финансовое оздоровление муниципальных унитарных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предприятий,  учредителем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является администрация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ЗАТО г. Радужный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578D" w:rsidTr="0020578D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«ГКМХ»   </w:t>
            </w:r>
          </w:p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                       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финансовой устойчивости муниципальных унитарных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предприятий</w:t>
            </w:r>
            <w:proofErr w:type="gramEnd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ЗАТО г. Радужный (д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алее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МУП)</w:t>
            </w:r>
          </w:p>
        </w:tc>
      </w:tr>
      <w:tr w:rsidR="0020578D" w:rsidTr="0020578D">
        <w:trPr>
          <w:trHeight w:val="2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 w:rsidP="007F77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Повышение эффективности осуществления контроля за деятельностью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поэтапных действий: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оздоровлению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выходу из финансового кризиса для  восстановления 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МУП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предупреждению процедур, приводящих к банкротству предприятия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кризисной ситуации МУП в связи </w:t>
            </w:r>
            <w:r w:rsidR="004D2156">
              <w:rPr>
                <w:rFonts w:ascii="Times New Roman" w:hAnsi="Times New Roman" w:cs="Times New Roman"/>
                <w:sz w:val="28"/>
                <w:szCs w:val="28"/>
              </w:rPr>
              <w:t xml:space="preserve">  с объявленной пандемией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коронавирусной</w:t>
            </w:r>
            <w:proofErr w:type="spellEnd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инфекции COVID-19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78D" w:rsidRDefault="00B06A92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С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>нижение кредиторской задолженности по договорам предприятия (денежным обязательствам), заключенным в ходе его уставной деятельности, обязательным платежам в бюджетную систему Российской Федерации, просроченным более чем на 1 месяц;</w:t>
            </w:r>
          </w:p>
          <w:p w:rsidR="0020578D" w:rsidRDefault="00205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дебиторской задолженности по договорам (денежным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обязательствам)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заключенным в ходе их уставной деятельности, обязательным платежам в бюджетную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систему Российской Федерации, просроченным более чем на 1 месяц.</w:t>
            </w:r>
          </w:p>
          <w:p w:rsidR="0020578D" w:rsidRDefault="00205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8D" w:rsidTr="0020578D">
        <w:trPr>
          <w:trHeight w:val="10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C434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20578D">
              <w:rPr>
                <w:rFonts w:ascii="Times New Roman" w:hAnsi="Times New Roman" w:cs="Times New Roman"/>
                <w:sz w:val="28"/>
                <w:szCs w:val="28"/>
              </w:rPr>
              <w:t>,   1 этап – 2020 год, 2 этап – 2021 год,  3 этап – 2022 год</w:t>
            </w:r>
            <w:r w:rsidR="00B652DE">
              <w:rPr>
                <w:rFonts w:ascii="Times New Roman" w:hAnsi="Times New Roman" w:cs="Times New Roman"/>
                <w:sz w:val="28"/>
                <w:szCs w:val="28"/>
              </w:rPr>
              <w:t>, 4 этап – 2023 год</w:t>
            </w:r>
            <w:r w:rsidR="00C23104">
              <w:rPr>
                <w:rFonts w:ascii="Times New Roman" w:hAnsi="Times New Roman" w:cs="Times New Roman"/>
                <w:sz w:val="28"/>
                <w:szCs w:val="28"/>
              </w:rPr>
              <w:t>, 5 этап -2024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этап – 2025 год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D4CFE" w:rsidRDefault="000B6913" w:rsidP="000B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 w:rsidRPr="000B6913">
              <w:rPr>
                <w:rFonts w:ascii="Times New Roman" w:hAnsi="Times New Roman" w:cs="Times New Roman"/>
                <w:sz w:val="28"/>
                <w:szCs w:val="28"/>
              </w:rPr>
              <w:t>составляет  8527</w:t>
            </w:r>
            <w:proofErr w:type="gramEnd"/>
            <w:r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,35881 тыс. руб., в том числе по годам:  </w:t>
            </w:r>
          </w:p>
          <w:p w:rsidR="000B6913" w:rsidRPr="000B6913" w:rsidRDefault="000B6913" w:rsidP="000B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 w:rsidRPr="000B6913">
              <w:rPr>
                <w:rFonts w:ascii="Times New Roman" w:hAnsi="Times New Roman" w:cs="Times New Roman"/>
                <w:sz w:val="28"/>
                <w:szCs w:val="28"/>
              </w:rPr>
              <w:t>–  5627</w:t>
            </w:r>
            <w:proofErr w:type="gramEnd"/>
            <w:r w:rsidRPr="000B6913">
              <w:rPr>
                <w:rFonts w:ascii="Times New Roman" w:hAnsi="Times New Roman" w:cs="Times New Roman"/>
                <w:sz w:val="28"/>
                <w:szCs w:val="28"/>
              </w:rPr>
              <w:t>,35881 тыс. руб.</w:t>
            </w:r>
            <w:r w:rsidR="000D4C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B6913" w:rsidRPr="000B6913" w:rsidRDefault="000D4CFE" w:rsidP="000B6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>–  2900</w:t>
            </w:r>
            <w:proofErr w:type="gramEnd"/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:rsidR="000B6913" w:rsidRPr="000B6913" w:rsidRDefault="000D4CFE" w:rsidP="00630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="006306F0">
              <w:rPr>
                <w:rFonts w:ascii="Times New Roman" w:hAnsi="Times New Roman" w:cs="Times New Roman"/>
                <w:sz w:val="28"/>
                <w:szCs w:val="28"/>
              </w:rPr>
              <w:t>–  0</w:t>
            </w:r>
            <w:proofErr w:type="gramEnd"/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>2023 год  –  0</w:t>
            </w:r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52DE" w:rsidRDefault="000D4CFE" w:rsidP="000B6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>2024 год   – 0</w:t>
            </w:r>
            <w:r w:rsidR="000B6913" w:rsidRPr="000B6913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6306F0">
              <w:rPr>
                <w:rFonts w:ascii="Times New Roman" w:hAnsi="Times New Roman" w:cs="Times New Roman"/>
                <w:sz w:val="28"/>
                <w:szCs w:val="28"/>
              </w:rPr>
              <w:t>., 2025 год – 0 тыс. руб.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Восстановление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Исключение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банкротства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</w:tc>
      </w:tr>
    </w:tbl>
    <w:p w:rsidR="0020578D" w:rsidRDefault="0020578D" w:rsidP="00FC40B8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8D" w:rsidRPr="00FC40B8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1.Характеристика проблемы и обоснование необходимости решения </w:t>
      </w:r>
    </w:p>
    <w:p w:rsidR="0020578D" w:rsidRPr="00FC40B8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>ее программными методами</w:t>
      </w:r>
    </w:p>
    <w:p w:rsidR="00FC40B8" w:rsidRPr="00B06A92" w:rsidRDefault="00FC40B8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0578D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Настоящая подпрограмма направлена на повышение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финансовой устойчивости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муниципальных унитарных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предприятий,  учредителем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которых является администрация ЗАТО г. Радужный Владимирской области.</w:t>
      </w:r>
    </w:p>
    <w:p w:rsidR="0020578D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Настоящая подпрограмма разработана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от 05.02.2020 № 149 «Об утверждении Плана мероприятий по оздоровлению муниципальных унитарных предприятий ЗАТО г. Радужный Владимирской области».</w:t>
      </w:r>
    </w:p>
    <w:p w:rsidR="0020578D" w:rsidRDefault="0020578D" w:rsidP="00205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Правовую основу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20578D" w:rsidRDefault="0020578D" w:rsidP="0020578D">
      <w:pPr>
        <w:pStyle w:val="ConsPlu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Федеральный  </w:t>
      </w:r>
      <w:hyperlink r:id="rId15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 «Об общих принципах организации  местного самоуправления в Российской Федерации»,</w:t>
      </w:r>
    </w:p>
    <w:p w:rsidR="0020578D" w:rsidRDefault="0020578D" w:rsidP="0020578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26.10.2002 N 127-ФЗ «О несостоятельности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(банкротстве)», 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Бюджетный кодекс Российской Федерации.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Разработка данной Программы необходима в целях возмещения затрат, связанных с производством (реализацией) товаров, выполнением работ, оказанием услуг, направленных на погашение денежных обязательств и обязательных платежей для предупреждения банкротства и восстановления платежеспособности МУП (санации), в рамках предусмотренных статьями 30, 31 Федерального закона от 26 октября 2002 года № 127-ФЗ «О несостоятельности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(банкротстве)» обязанностей собственника муниципального унитарного предприятия по предупреждению банкротства организаций.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Муниципальными унитарными предприятиями ЗАТО г. Радужный  являются: муниципальное унитарное предприятие «Жилищно-коммунальное хозяйство ЗАТО г. Радужный Владимирской области» (далее  ─  МУП «ЖКХ»), муниципальное унитарное предприятие водопроводных, канализационных, тепловых сетей ЗАТО г. Радужный Владимирской области (далее – МУП ВКТС),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унитарное предприятие «Автотранспортные перевозки ЗАТО г. Радужный» Владимирской области (далее по тексту - МУП «АТП»),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унитарное предприятие  Кафе «Радужное» (далее – МУП Кафе «Радужное».</w:t>
      </w:r>
    </w:p>
    <w:p w:rsidR="0020578D" w:rsidRDefault="0020578D" w:rsidP="0020578D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Органам местного самоуправления принадлежит особая роль в решении вопросов управления муниципальным имуществом на своей территории.</w:t>
      </w:r>
    </w:p>
    <w:p w:rsidR="0020578D" w:rsidRDefault="0020578D" w:rsidP="00205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данных полномочий составляют положения п.4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51 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06.10.2003 г. № 131-ФЗ «Об общих принципах организации местного самоуправления в Российской Федерации»,  в соответствии с которым  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20578D" w:rsidRDefault="0020578D" w:rsidP="00205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муниципальными правовыми актами.</w:t>
      </w:r>
    </w:p>
    <w:p w:rsidR="0020578D" w:rsidRDefault="0020578D" w:rsidP="0020578D">
      <w:pPr>
        <w:pStyle w:val="ad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Особенностью данной группы полномочий является то, что они направлены на решение экономических, производственных, социально-бытовых вопросов и характеризуются самостоятельностью органов местного самоуправления в управлении соответствующими объектами муниципальной собственности, распоряжении средствами местного бюджета, создании и ликвидации муниципальных унитарных предприятий и т.д.</w:t>
      </w:r>
    </w:p>
    <w:p w:rsidR="0020578D" w:rsidRDefault="0020578D" w:rsidP="00A620D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Организационно-правовая форма унитарного предприятия имеет свою специфику. </w:t>
      </w:r>
    </w:p>
    <w:p w:rsidR="0020578D" w:rsidRDefault="0020578D" w:rsidP="00A620D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одной стороны, унитарное предприятие, являясь коммерческой организацией,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целено на извлечение прибыли. С другой — имущество, которым владеет это предприятие, принадлежит ему на ограниченном вещ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ном праве (хозяйственного ведения либо оперативного управле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ния).</w:t>
      </w:r>
    </w:p>
    <w:p w:rsidR="0020578D" w:rsidRDefault="0020578D" w:rsidP="00A620D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ст.30 п.3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 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26.10.2002 N 127-ФЗ </w:t>
      </w:r>
      <w:r>
        <w:rPr>
          <w:rFonts w:ascii="Times New Roman" w:hAnsi="Times New Roman" w:cs="Times New Roman"/>
          <w:sz w:val="28"/>
          <w:szCs w:val="28"/>
        </w:rPr>
        <w:lastRenderedPageBreak/>
        <w:t>«О несостоятельности (банкротстве)» (далее - Закон о банкротстве) в целях предупреждения банкротст</w:t>
      </w:r>
      <w:r w:rsidR="006D196A">
        <w:rPr>
          <w:rFonts w:ascii="Times New Roman" w:hAnsi="Times New Roman" w:cs="Times New Roman"/>
          <w:sz w:val="28"/>
          <w:szCs w:val="28"/>
        </w:rPr>
        <w:t>ва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 ЗАТО г. Радужный  администрация ЗАТО г. Радужный как учредитель до момента подачи в арбитражный суд заявления о признании должника банкротом должна предпринять меры, направленные на восстановление их платежеспособности. В соответствии со ст. 31 Закона о банкротстве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учредитель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мер по предупреждению банкротства, в  том числе, может оказать  финансовую помощь.</w:t>
      </w:r>
    </w:p>
    <w:p w:rsidR="0020578D" w:rsidRDefault="0020578D" w:rsidP="00A620D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важность для муниципального образования муниципальных унитарных предприятий, оказывающих нашему населению  жилищно-коммунальные услуги, транспортные услуги, услуги бытового характера,  в соответствии со ст. 78 Бюджетного кодекса Российской Федерации предприятию может предоставляться субсидия на безвозмездной и безвозвратной основе в целях возмещения затрат или недополученных доходов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</w:p>
    <w:p w:rsidR="0020578D" w:rsidRDefault="0020578D" w:rsidP="00A620DD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Предоставление субсидии (финансовой помощи)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для восстановления платежеспособности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муниципальных унитарных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предприятий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ЗАТО г. Радужный определяется порядком, установленным администрацией ЗАТО г. Радужный.</w:t>
      </w:r>
    </w:p>
    <w:p w:rsidR="0020578D" w:rsidRDefault="0020578D" w:rsidP="00A620D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вышеуказанных направлений работы возможна посредством применения программного метода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поставленных 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578D" w:rsidRPr="00FC40B8" w:rsidRDefault="0020578D" w:rsidP="00A620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2.Основные </w:t>
      </w:r>
      <w:proofErr w:type="gramStart"/>
      <w:r w:rsidRPr="00FC40B8">
        <w:rPr>
          <w:rFonts w:ascii="Times New Roman" w:hAnsi="Times New Roman" w:cs="Times New Roman"/>
          <w:b/>
          <w:bCs/>
          <w:sz w:val="28"/>
          <w:szCs w:val="28"/>
        </w:rPr>
        <w:t>цели,  задачи</w:t>
      </w:r>
      <w:proofErr w:type="gramEnd"/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подпрограммы, сроки и этапы ее реализации</w:t>
      </w:r>
    </w:p>
    <w:p w:rsidR="00A620DD" w:rsidRPr="00FC40B8" w:rsidRDefault="00A620DD" w:rsidP="00A620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подпрограммы: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Обеспечение финансовой устойчивости муниципальных унитарных предприятий ЗАТО г.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Радужный  (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>далее МУП ЗАТО г. Радужный)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подпрограммы: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эффективности осуществления контроля за деятельностью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МУП  ЗАТО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Радужный;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поэтапных действий: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по предупреждению процедур, приводящих к банкротству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выходу из финансового кризиса для  восстановления платежеспособности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МУП ЖКХ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предупреждению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кризисной ситуации МУП</w:t>
      </w:r>
      <w:r w:rsidR="004D2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</w:t>
      </w:r>
      <w:r w:rsidR="004D2156">
        <w:rPr>
          <w:rFonts w:ascii="Times New Roman" w:hAnsi="Times New Roman" w:cs="Times New Roman"/>
          <w:sz w:val="28"/>
          <w:szCs w:val="28"/>
        </w:rPr>
        <w:t xml:space="preserve">  с объявленной пандемией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инфекции COVID-19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целевыми показателями (индикаторами) реализации муниципальной подпрограммы являются:</w:t>
      </w:r>
    </w:p>
    <w:p w:rsidR="00A620DD" w:rsidRDefault="0020578D" w:rsidP="00B65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нижение дебиторской задолженности по договорам (денежным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обязательствам) </w:t>
      </w:r>
      <w:r w:rsidR="00364A72">
        <w:rPr>
          <w:rFonts w:ascii="Times New Roman" w:hAnsi="Times New Roman" w:cs="Times New Roman"/>
          <w:sz w:val="28"/>
          <w:szCs w:val="28"/>
          <w:lang w:eastAsia="zh-CN"/>
        </w:rPr>
        <w:t xml:space="preserve"> МУП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ходе их уставной деятельности, обязательным платежам в бюджетную систему Российской Федерации, просроченным более чем на 1 месяц.</w:t>
      </w:r>
    </w:p>
    <w:p w:rsidR="0020578D" w:rsidRDefault="0020578D" w:rsidP="00A620DD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8"/>
          <w:szCs w:val="28"/>
        </w:rPr>
        <w:t>Целевые показатели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индикаторы)  подпрограммы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>:</w:t>
      </w:r>
    </w:p>
    <w:p w:rsidR="00A620DD" w:rsidRDefault="00A620DD" w:rsidP="00A620DD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48"/>
        <w:gridCol w:w="3191"/>
        <w:gridCol w:w="850"/>
        <w:gridCol w:w="851"/>
        <w:gridCol w:w="1275"/>
        <w:gridCol w:w="851"/>
        <w:gridCol w:w="992"/>
        <w:gridCol w:w="993"/>
      </w:tblGrid>
      <w:tr w:rsidR="00480BC8" w:rsidTr="00F264A8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480BC8" w:rsidTr="00480BC8">
        <w:trPr>
          <w:trHeight w:val="63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B6B80" w:rsidP="000B6B80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  <w:r w:rsidR="00480BC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</w:tr>
      <w:tr w:rsidR="00480BC8" w:rsidTr="00480BC8">
        <w:trPr>
          <w:trHeight w:val="35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0D4C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D4C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D4C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D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D4C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80BC8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BC8" w:rsidTr="00F264A8">
        <w:trPr>
          <w:trHeight w:val="45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 w:rsidP="005E06AA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 w:rsidP="005E06AA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просроченной кредиторской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ЗАТО г. Радужный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(денежным обязательствам), заключенным в ходе их уставной деятельности,</w:t>
            </w:r>
          </w:p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«ЖКХ»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rPr>
          <w:trHeight w:val="4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ВКТС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«АТП»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Кафе «Радужное»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обязательным платежам в бюджетную систему Российской Федерации,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«ЖКХ»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ВКТС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«АТП»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Кафе «Радужное»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578D" w:rsidRPr="005E06AA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AA">
        <w:rPr>
          <w:rFonts w:ascii="Times New Roman" w:hAnsi="Times New Roman" w:cs="Times New Roman"/>
          <w:sz w:val="28"/>
          <w:szCs w:val="28"/>
        </w:rPr>
        <w:t>Сроки реализации подпрограммы 2020</w:t>
      </w:r>
      <w:r w:rsidR="00C939AB">
        <w:rPr>
          <w:rFonts w:ascii="Times New Roman" w:hAnsi="Times New Roman" w:cs="Times New Roman"/>
          <w:sz w:val="28"/>
          <w:szCs w:val="28"/>
        </w:rPr>
        <w:t>-2025</w:t>
      </w:r>
      <w:r w:rsidRPr="008A40D7">
        <w:rPr>
          <w:rFonts w:ascii="Times New Roman" w:hAnsi="Times New Roman" w:cs="Times New Roman"/>
          <w:sz w:val="28"/>
          <w:szCs w:val="28"/>
        </w:rPr>
        <w:t xml:space="preserve"> годы: 1 этап – 2020 </w:t>
      </w:r>
      <w:proofErr w:type="gramStart"/>
      <w:r w:rsidRPr="008A40D7">
        <w:rPr>
          <w:rFonts w:ascii="Times New Roman" w:hAnsi="Times New Roman" w:cs="Times New Roman"/>
          <w:sz w:val="28"/>
          <w:szCs w:val="28"/>
        </w:rPr>
        <w:t>год,  2</w:t>
      </w:r>
      <w:proofErr w:type="gramEnd"/>
      <w:r w:rsidRPr="008A40D7">
        <w:rPr>
          <w:rFonts w:ascii="Times New Roman" w:hAnsi="Times New Roman" w:cs="Times New Roman"/>
          <w:sz w:val="28"/>
          <w:szCs w:val="28"/>
        </w:rPr>
        <w:t xml:space="preserve"> этап – 2021 год, 3 этап – 2022 год</w:t>
      </w:r>
      <w:r w:rsidR="00B652DE">
        <w:rPr>
          <w:rFonts w:ascii="Times New Roman" w:hAnsi="Times New Roman" w:cs="Times New Roman"/>
          <w:sz w:val="28"/>
          <w:szCs w:val="28"/>
        </w:rPr>
        <w:t>, 4 этап – 2023 год</w:t>
      </w:r>
      <w:r w:rsidR="00EE6B22">
        <w:rPr>
          <w:rFonts w:ascii="Times New Roman" w:hAnsi="Times New Roman" w:cs="Times New Roman"/>
          <w:sz w:val="28"/>
          <w:szCs w:val="28"/>
        </w:rPr>
        <w:t>, 5 этап – 2024 год</w:t>
      </w:r>
      <w:r w:rsidR="006306F0">
        <w:rPr>
          <w:rFonts w:ascii="Times New Roman" w:hAnsi="Times New Roman" w:cs="Times New Roman"/>
          <w:sz w:val="28"/>
          <w:szCs w:val="28"/>
        </w:rPr>
        <w:t>, 6 этап -2025 год.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78D" w:rsidRPr="00B06A92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A92">
        <w:rPr>
          <w:rFonts w:ascii="Times New Roman" w:hAnsi="Times New Roman" w:cs="Times New Roman"/>
          <w:bCs/>
          <w:sz w:val="28"/>
          <w:szCs w:val="28"/>
        </w:rPr>
        <w:lastRenderedPageBreak/>
        <w:t>3.Ресурсное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Layout w:type="fixed"/>
        <w:tblLook w:val="00A0" w:firstRow="1" w:lastRow="0" w:firstColumn="1" w:lastColumn="0" w:noHBand="0" w:noVBand="0"/>
      </w:tblPr>
      <w:tblGrid>
        <w:gridCol w:w="459"/>
        <w:gridCol w:w="2201"/>
        <w:gridCol w:w="850"/>
        <w:gridCol w:w="1276"/>
        <w:gridCol w:w="567"/>
        <w:gridCol w:w="1559"/>
        <w:gridCol w:w="1276"/>
        <w:gridCol w:w="709"/>
        <w:gridCol w:w="850"/>
      </w:tblGrid>
      <w:tr w:rsidR="0020578D" w:rsidTr="00771A57">
        <w:trPr>
          <w:trHeight w:val="2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под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Исполнения, (года)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Исполнители, соисполнители</w:t>
            </w:r>
          </w:p>
        </w:tc>
      </w:tr>
      <w:tr w:rsidR="0020578D" w:rsidTr="00771A57">
        <w:trPr>
          <w:trHeight w:val="2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78D" w:rsidTr="00771A57">
        <w:trPr>
          <w:trHeight w:val="33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Субсидии,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78D" w:rsidTr="00771A57">
        <w:trPr>
          <w:trHeight w:val="2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578D" w:rsidTr="00771A5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EE6B2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4519">
              <w:rPr>
                <w:rFonts w:ascii="Times New Roman" w:hAnsi="Times New Roman" w:cs="Times New Roman"/>
                <w:sz w:val="24"/>
                <w:szCs w:val="24"/>
              </w:rPr>
              <w:t>одпрограмма  «</w:t>
            </w:r>
            <w:proofErr w:type="gramEnd"/>
            <w:r w:rsidR="0020578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оздоровление муниципальных унитарных предприятий,  учредителем которых является администрация </w:t>
            </w:r>
            <w:r w:rsidR="0020578D">
              <w:rPr>
                <w:rFonts w:ascii="Times New Roman" w:hAnsi="Times New Roman" w:cs="Times New Roman"/>
                <w:bCs/>
                <w:sz w:val="24"/>
                <w:szCs w:val="24"/>
              </w:rPr>
              <w:t>ЗАТО г. Радужный Владимирской области</w:t>
            </w:r>
            <w:r w:rsidR="0020578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RPr="00CB570D" w:rsidTr="00771A57">
        <w:trPr>
          <w:trHeight w:val="6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771A57" w:rsidRDefault="006306F0" w:rsidP="006A508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4467C3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467C3">
              <w:rPr>
                <w:rFonts w:ascii="Times New Roman" w:hAnsi="Times New Roman" w:cs="Times New Roman"/>
              </w:rPr>
              <w:t>8527,35881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4467C3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467C3">
              <w:rPr>
                <w:rFonts w:ascii="Times New Roman" w:hAnsi="Times New Roman" w:cs="Times New Roman"/>
              </w:rPr>
              <w:t>8527,35881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0A" w:rsidRPr="00CB570D" w:rsidTr="00655006">
        <w:trPr>
          <w:trHeight w:val="55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90A" w:rsidRPr="00CB570D" w:rsidRDefault="004F490A" w:rsidP="006A508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490A" w:rsidRPr="00771A57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467C3"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0A" w:rsidRPr="00CB570D" w:rsidTr="0065500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90A" w:rsidRPr="00CB570D" w:rsidRDefault="004F490A" w:rsidP="006A50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90A" w:rsidRPr="00CB570D" w:rsidRDefault="004F490A" w:rsidP="006A5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A" w:rsidRPr="00771A57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0A" w:rsidRDefault="004F490A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2900,0</w:t>
            </w:r>
          </w:p>
          <w:p w:rsidR="004F490A" w:rsidRPr="00CB570D" w:rsidRDefault="004F490A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0A" w:rsidRPr="00CB570D" w:rsidRDefault="004F490A" w:rsidP="00446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2900,0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0A" w:rsidRPr="00CB570D" w:rsidRDefault="004F490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48" w:rsidTr="0065500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48" w:rsidRPr="00771A57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Pr="00CB570D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Pr="00CB570D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48" w:rsidTr="0065500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771A57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Pr="00CB570D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Pr="00CB570D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48" w:rsidTr="00A9542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771A57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C48" w:rsidTr="00A9542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C48" w:rsidRPr="00CB570D" w:rsidRDefault="00ED0C48" w:rsidP="00ED0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Pr="00CB570D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48" w:rsidRDefault="00ED0C48" w:rsidP="00E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48" w:rsidRDefault="00ED0C48" w:rsidP="00ED0C48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4CFE" w:rsidRDefault="000D4CFE" w:rsidP="0020578D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578D" w:rsidRPr="00B06A92" w:rsidRDefault="0020578D" w:rsidP="0020578D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A92">
        <w:rPr>
          <w:rFonts w:ascii="Times New Roman" w:hAnsi="Times New Roman" w:cs="Times New Roman"/>
          <w:bCs/>
          <w:sz w:val="28"/>
          <w:szCs w:val="28"/>
        </w:rPr>
        <w:t>4. Мероприятия подпрограммы</w:t>
      </w:r>
    </w:p>
    <w:p w:rsidR="0020578D" w:rsidRDefault="0020578D" w:rsidP="0020578D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Перечень мероприятий подпрограммы представлен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подпрограмме.</w:t>
      </w:r>
    </w:p>
    <w:p w:rsidR="00AC2632" w:rsidRDefault="00AC2632" w:rsidP="00B06A9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06A92" w:rsidRDefault="00B06A92" w:rsidP="009079F9">
      <w:pPr>
        <w:rPr>
          <w:rFonts w:ascii="Times New Roman" w:hAnsi="Times New Roman" w:cs="Times New Roman"/>
          <w:sz w:val="28"/>
          <w:szCs w:val="28"/>
        </w:rPr>
      </w:pPr>
    </w:p>
    <w:p w:rsidR="000D4CFE" w:rsidRDefault="000D4CFE" w:rsidP="009079F9">
      <w:pPr>
        <w:rPr>
          <w:rFonts w:ascii="Times New Roman" w:hAnsi="Times New Roman" w:cs="Times New Roman"/>
          <w:sz w:val="28"/>
          <w:szCs w:val="28"/>
        </w:rPr>
      </w:pPr>
    </w:p>
    <w:p w:rsidR="009079F9" w:rsidRDefault="00720932" w:rsidP="0090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Будалова</w:t>
      </w:r>
      <w:proofErr w:type="spellEnd"/>
      <w:r w:rsidR="009079F9">
        <w:rPr>
          <w:rFonts w:ascii="Times New Roman" w:hAnsi="Times New Roman" w:cs="Times New Roman"/>
          <w:sz w:val="24"/>
          <w:szCs w:val="24"/>
        </w:rPr>
        <w:t>,</w:t>
      </w:r>
      <w:r w:rsidR="000D4CFE">
        <w:rPr>
          <w:rFonts w:ascii="Times New Roman" w:hAnsi="Times New Roman" w:cs="Times New Roman"/>
          <w:sz w:val="24"/>
          <w:szCs w:val="24"/>
        </w:rPr>
        <w:t xml:space="preserve"> т. </w:t>
      </w:r>
      <w:r w:rsidR="009079F9">
        <w:rPr>
          <w:rFonts w:ascii="Times New Roman" w:hAnsi="Times New Roman" w:cs="Times New Roman"/>
          <w:sz w:val="24"/>
          <w:szCs w:val="24"/>
        </w:rPr>
        <w:t>3 42 95</w:t>
      </w:r>
    </w:p>
    <w:sectPr w:rsidR="009079F9" w:rsidSect="0033371A">
      <w:type w:val="continuous"/>
      <w:pgSz w:w="11906" w:h="16838" w:code="9"/>
      <w:pgMar w:top="510" w:right="851" w:bottom="3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27" w:rsidRDefault="00F50E27" w:rsidP="0047536D">
      <w:pPr>
        <w:spacing w:after="0" w:line="240" w:lineRule="auto"/>
      </w:pPr>
      <w:r>
        <w:separator/>
      </w:r>
    </w:p>
  </w:endnote>
  <w:endnote w:type="continuationSeparator" w:id="0">
    <w:p w:rsidR="00F50E27" w:rsidRDefault="00F50E27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F2" w:rsidRDefault="00CC0D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121886"/>
      <w:docPartObj>
        <w:docPartGallery w:val="Page Numbers (Bottom of Page)"/>
        <w:docPartUnique/>
      </w:docPartObj>
    </w:sdtPr>
    <w:sdtEndPr/>
    <w:sdtContent>
      <w:p w:rsidR="00CC0DF2" w:rsidRDefault="00CC0DF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55D">
          <w:rPr>
            <w:noProof/>
          </w:rPr>
          <w:t>22</w:t>
        </w:r>
        <w:r>
          <w:fldChar w:fldCharType="end"/>
        </w:r>
      </w:p>
    </w:sdtContent>
  </w:sdt>
  <w:p w:rsidR="00CC0DF2" w:rsidRDefault="00CC0DF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F2" w:rsidRDefault="00CC0D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27" w:rsidRDefault="00F50E27" w:rsidP="0047536D">
      <w:pPr>
        <w:spacing w:after="0" w:line="240" w:lineRule="auto"/>
      </w:pPr>
      <w:r>
        <w:separator/>
      </w:r>
    </w:p>
  </w:footnote>
  <w:footnote w:type="continuationSeparator" w:id="0">
    <w:p w:rsidR="00F50E27" w:rsidRDefault="00F50E27" w:rsidP="0047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F2" w:rsidRDefault="00CC0D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F2" w:rsidRDefault="00CC0DF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F2" w:rsidRDefault="00CC0D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3EE"/>
    <w:multiLevelType w:val="hybridMultilevel"/>
    <w:tmpl w:val="EB5A9068"/>
    <w:lvl w:ilvl="0" w:tplc="C5168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3F72"/>
    <w:multiLevelType w:val="hybridMultilevel"/>
    <w:tmpl w:val="8652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4D3"/>
    <w:multiLevelType w:val="hybridMultilevel"/>
    <w:tmpl w:val="C81C5FA4"/>
    <w:lvl w:ilvl="0" w:tplc="C5168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615"/>
    <w:multiLevelType w:val="hybridMultilevel"/>
    <w:tmpl w:val="EFC4DB92"/>
    <w:lvl w:ilvl="0" w:tplc="9656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97"/>
    <w:rsid w:val="00005B90"/>
    <w:rsid w:val="00010B09"/>
    <w:rsid w:val="00010CDC"/>
    <w:rsid w:val="00015C03"/>
    <w:rsid w:val="00016E7E"/>
    <w:rsid w:val="00030CEF"/>
    <w:rsid w:val="00032643"/>
    <w:rsid w:val="000328F0"/>
    <w:rsid w:val="00032D76"/>
    <w:rsid w:val="00034C94"/>
    <w:rsid w:val="000360C3"/>
    <w:rsid w:val="00040BDC"/>
    <w:rsid w:val="00041D6B"/>
    <w:rsid w:val="00043275"/>
    <w:rsid w:val="00043DEF"/>
    <w:rsid w:val="000449FF"/>
    <w:rsid w:val="00053E50"/>
    <w:rsid w:val="000559F8"/>
    <w:rsid w:val="0005691D"/>
    <w:rsid w:val="00057499"/>
    <w:rsid w:val="000646DF"/>
    <w:rsid w:val="00064870"/>
    <w:rsid w:val="0006780F"/>
    <w:rsid w:val="00072F37"/>
    <w:rsid w:val="00074E49"/>
    <w:rsid w:val="00082C9F"/>
    <w:rsid w:val="000852F1"/>
    <w:rsid w:val="000859F1"/>
    <w:rsid w:val="00085A31"/>
    <w:rsid w:val="0008616E"/>
    <w:rsid w:val="00096E77"/>
    <w:rsid w:val="000A0B40"/>
    <w:rsid w:val="000A60C6"/>
    <w:rsid w:val="000B106D"/>
    <w:rsid w:val="000B158F"/>
    <w:rsid w:val="000B233D"/>
    <w:rsid w:val="000B40FB"/>
    <w:rsid w:val="000B55B9"/>
    <w:rsid w:val="000B6913"/>
    <w:rsid w:val="000B6B80"/>
    <w:rsid w:val="000C077B"/>
    <w:rsid w:val="000C1978"/>
    <w:rsid w:val="000C4B11"/>
    <w:rsid w:val="000C4FAF"/>
    <w:rsid w:val="000D4530"/>
    <w:rsid w:val="000D4CFE"/>
    <w:rsid w:val="000D5105"/>
    <w:rsid w:val="000D63BE"/>
    <w:rsid w:val="000D717E"/>
    <w:rsid w:val="000E1E36"/>
    <w:rsid w:val="000E2665"/>
    <w:rsid w:val="000E53CB"/>
    <w:rsid w:val="000E6604"/>
    <w:rsid w:val="000F47D0"/>
    <w:rsid w:val="000F64AC"/>
    <w:rsid w:val="00102D1D"/>
    <w:rsid w:val="00102F30"/>
    <w:rsid w:val="00105F59"/>
    <w:rsid w:val="0011320E"/>
    <w:rsid w:val="0011577F"/>
    <w:rsid w:val="00116EEC"/>
    <w:rsid w:val="001207AA"/>
    <w:rsid w:val="001263FE"/>
    <w:rsid w:val="001341D3"/>
    <w:rsid w:val="00142459"/>
    <w:rsid w:val="001430F4"/>
    <w:rsid w:val="00146B8D"/>
    <w:rsid w:val="00153FA2"/>
    <w:rsid w:val="0015420B"/>
    <w:rsid w:val="00160070"/>
    <w:rsid w:val="001651CD"/>
    <w:rsid w:val="001705DE"/>
    <w:rsid w:val="0017213D"/>
    <w:rsid w:val="001744AC"/>
    <w:rsid w:val="00174B5E"/>
    <w:rsid w:val="001760E1"/>
    <w:rsid w:val="00177D92"/>
    <w:rsid w:val="00177E3D"/>
    <w:rsid w:val="001814B7"/>
    <w:rsid w:val="001816E6"/>
    <w:rsid w:val="00181DF9"/>
    <w:rsid w:val="00185E48"/>
    <w:rsid w:val="00185FAF"/>
    <w:rsid w:val="0018670F"/>
    <w:rsid w:val="0019197D"/>
    <w:rsid w:val="00195C8D"/>
    <w:rsid w:val="00197315"/>
    <w:rsid w:val="0019775E"/>
    <w:rsid w:val="001A14DB"/>
    <w:rsid w:val="001A2D34"/>
    <w:rsid w:val="001B1182"/>
    <w:rsid w:val="001B4C48"/>
    <w:rsid w:val="001B6D7D"/>
    <w:rsid w:val="001C2EE0"/>
    <w:rsid w:val="001C57CE"/>
    <w:rsid w:val="001C59BF"/>
    <w:rsid w:val="001C71DD"/>
    <w:rsid w:val="001C7ED4"/>
    <w:rsid w:val="001D1DD8"/>
    <w:rsid w:val="001D4B03"/>
    <w:rsid w:val="001D6698"/>
    <w:rsid w:val="001E02A1"/>
    <w:rsid w:val="001E1401"/>
    <w:rsid w:val="001E2383"/>
    <w:rsid w:val="001E6D0D"/>
    <w:rsid w:val="001F4646"/>
    <w:rsid w:val="001F53C3"/>
    <w:rsid w:val="001F5F9E"/>
    <w:rsid w:val="001F704B"/>
    <w:rsid w:val="00200326"/>
    <w:rsid w:val="0020578D"/>
    <w:rsid w:val="00211543"/>
    <w:rsid w:val="00211E0C"/>
    <w:rsid w:val="0021660D"/>
    <w:rsid w:val="0022211D"/>
    <w:rsid w:val="00222219"/>
    <w:rsid w:val="002225B2"/>
    <w:rsid w:val="00226835"/>
    <w:rsid w:val="00226AC2"/>
    <w:rsid w:val="00226E8C"/>
    <w:rsid w:val="00227242"/>
    <w:rsid w:val="00230EE8"/>
    <w:rsid w:val="00233559"/>
    <w:rsid w:val="00234496"/>
    <w:rsid w:val="00235C70"/>
    <w:rsid w:val="00240872"/>
    <w:rsid w:val="0024141A"/>
    <w:rsid w:val="002436DD"/>
    <w:rsid w:val="002441C5"/>
    <w:rsid w:val="0024436F"/>
    <w:rsid w:val="00244EA6"/>
    <w:rsid w:val="002450C4"/>
    <w:rsid w:val="00245EB3"/>
    <w:rsid w:val="00247EBE"/>
    <w:rsid w:val="00247FB5"/>
    <w:rsid w:val="002513FD"/>
    <w:rsid w:val="00252FC5"/>
    <w:rsid w:val="00253301"/>
    <w:rsid w:val="002553E1"/>
    <w:rsid w:val="0025616E"/>
    <w:rsid w:val="002571F1"/>
    <w:rsid w:val="00257B36"/>
    <w:rsid w:val="002617F5"/>
    <w:rsid w:val="0026283C"/>
    <w:rsid w:val="00262EB7"/>
    <w:rsid w:val="00265889"/>
    <w:rsid w:val="00270A4D"/>
    <w:rsid w:val="00272855"/>
    <w:rsid w:val="00273912"/>
    <w:rsid w:val="00276610"/>
    <w:rsid w:val="00287B23"/>
    <w:rsid w:val="002906AA"/>
    <w:rsid w:val="002A0C3B"/>
    <w:rsid w:val="002A2060"/>
    <w:rsid w:val="002A5E01"/>
    <w:rsid w:val="002B7B16"/>
    <w:rsid w:val="002C0D1F"/>
    <w:rsid w:val="002C2CCA"/>
    <w:rsid w:val="002C58F4"/>
    <w:rsid w:val="002D12FA"/>
    <w:rsid w:val="002D1B0A"/>
    <w:rsid w:val="002D3BD6"/>
    <w:rsid w:val="002D3FB7"/>
    <w:rsid w:val="002D44CB"/>
    <w:rsid w:val="002E3DF0"/>
    <w:rsid w:val="002E4955"/>
    <w:rsid w:val="002E4ED0"/>
    <w:rsid w:val="002E5E39"/>
    <w:rsid w:val="002F2F1C"/>
    <w:rsid w:val="002F4003"/>
    <w:rsid w:val="002F46E3"/>
    <w:rsid w:val="003018B9"/>
    <w:rsid w:val="0030349B"/>
    <w:rsid w:val="00304CAF"/>
    <w:rsid w:val="003060A3"/>
    <w:rsid w:val="003063A9"/>
    <w:rsid w:val="0030663B"/>
    <w:rsid w:val="003119EB"/>
    <w:rsid w:val="00315CC1"/>
    <w:rsid w:val="003206A3"/>
    <w:rsid w:val="0032172E"/>
    <w:rsid w:val="00321D74"/>
    <w:rsid w:val="003228AB"/>
    <w:rsid w:val="00330825"/>
    <w:rsid w:val="0033371A"/>
    <w:rsid w:val="00340EF0"/>
    <w:rsid w:val="003446B3"/>
    <w:rsid w:val="00353CD9"/>
    <w:rsid w:val="003575D6"/>
    <w:rsid w:val="003579F8"/>
    <w:rsid w:val="003604B1"/>
    <w:rsid w:val="003638F7"/>
    <w:rsid w:val="00364428"/>
    <w:rsid w:val="00364506"/>
    <w:rsid w:val="00364646"/>
    <w:rsid w:val="00364A72"/>
    <w:rsid w:val="0036706B"/>
    <w:rsid w:val="00372A72"/>
    <w:rsid w:val="00374023"/>
    <w:rsid w:val="0038630E"/>
    <w:rsid w:val="00387467"/>
    <w:rsid w:val="00395F7C"/>
    <w:rsid w:val="003A53DE"/>
    <w:rsid w:val="003A786E"/>
    <w:rsid w:val="003B10E8"/>
    <w:rsid w:val="003B2D43"/>
    <w:rsid w:val="003B72F6"/>
    <w:rsid w:val="003C23AF"/>
    <w:rsid w:val="003C3CC0"/>
    <w:rsid w:val="003C4B69"/>
    <w:rsid w:val="003C7CE0"/>
    <w:rsid w:val="003D2E03"/>
    <w:rsid w:val="003D51CA"/>
    <w:rsid w:val="003D566B"/>
    <w:rsid w:val="003D6A05"/>
    <w:rsid w:val="003D7AE9"/>
    <w:rsid w:val="003E291B"/>
    <w:rsid w:val="003E7209"/>
    <w:rsid w:val="003F1188"/>
    <w:rsid w:val="003F28EA"/>
    <w:rsid w:val="003F30B8"/>
    <w:rsid w:val="003F3EFE"/>
    <w:rsid w:val="003F69C9"/>
    <w:rsid w:val="003F706B"/>
    <w:rsid w:val="003F7586"/>
    <w:rsid w:val="00400F0B"/>
    <w:rsid w:val="00401902"/>
    <w:rsid w:val="004134D4"/>
    <w:rsid w:val="00414262"/>
    <w:rsid w:val="00416C9A"/>
    <w:rsid w:val="0041704E"/>
    <w:rsid w:val="0042011A"/>
    <w:rsid w:val="00423043"/>
    <w:rsid w:val="00430E29"/>
    <w:rsid w:val="00431979"/>
    <w:rsid w:val="00435822"/>
    <w:rsid w:val="00436199"/>
    <w:rsid w:val="004411AA"/>
    <w:rsid w:val="0044331E"/>
    <w:rsid w:val="004442F1"/>
    <w:rsid w:val="004467C3"/>
    <w:rsid w:val="0045129B"/>
    <w:rsid w:val="004519FB"/>
    <w:rsid w:val="00453ED5"/>
    <w:rsid w:val="00456F30"/>
    <w:rsid w:val="0046153E"/>
    <w:rsid w:val="004651BE"/>
    <w:rsid w:val="00466529"/>
    <w:rsid w:val="004707AE"/>
    <w:rsid w:val="00472668"/>
    <w:rsid w:val="004746E6"/>
    <w:rsid w:val="0047536D"/>
    <w:rsid w:val="00475A3B"/>
    <w:rsid w:val="00477C75"/>
    <w:rsid w:val="00480BC8"/>
    <w:rsid w:val="004816BA"/>
    <w:rsid w:val="00481CC1"/>
    <w:rsid w:val="00484878"/>
    <w:rsid w:val="004907C4"/>
    <w:rsid w:val="00490B9D"/>
    <w:rsid w:val="00492751"/>
    <w:rsid w:val="004964D9"/>
    <w:rsid w:val="004A0C7C"/>
    <w:rsid w:val="004A1812"/>
    <w:rsid w:val="004A2C45"/>
    <w:rsid w:val="004B50EF"/>
    <w:rsid w:val="004B6782"/>
    <w:rsid w:val="004C1D30"/>
    <w:rsid w:val="004C2989"/>
    <w:rsid w:val="004C337F"/>
    <w:rsid w:val="004C4B6F"/>
    <w:rsid w:val="004C7409"/>
    <w:rsid w:val="004C74B3"/>
    <w:rsid w:val="004D11DE"/>
    <w:rsid w:val="004D2156"/>
    <w:rsid w:val="004D27AF"/>
    <w:rsid w:val="004D494C"/>
    <w:rsid w:val="004E0957"/>
    <w:rsid w:val="004E10E9"/>
    <w:rsid w:val="004E16E5"/>
    <w:rsid w:val="004E589A"/>
    <w:rsid w:val="004F1683"/>
    <w:rsid w:val="004F182F"/>
    <w:rsid w:val="004F2A7E"/>
    <w:rsid w:val="004F4501"/>
    <w:rsid w:val="004F490A"/>
    <w:rsid w:val="004F5E98"/>
    <w:rsid w:val="004F6EAA"/>
    <w:rsid w:val="005011ED"/>
    <w:rsid w:val="0050462C"/>
    <w:rsid w:val="00514C27"/>
    <w:rsid w:val="00514D3A"/>
    <w:rsid w:val="0051596C"/>
    <w:rsid w:val="00516EC1"/>
    <w:rsid w:val="0052169B"/>
    <w:rsid w:val="00522592"/>
    <w:rsid w:val="0052394D"/>
    <w:rsid w:val="005255CA"/>
    <w:rsid w:val="0052785D"/>
    <w:rsid w:val="00527C3C"/>
    <w:rsid w:val="00530895"/>
    <w:rsid w:val="00530C68"/>
    <w:rsid w:val="005334EB"/>
    <w:rsid w:val="0053741E"/>
    <w:rsid w:val="00544D09"/>
    <w:rsid w:val="005476C0"/>
    <w:rsid w:val="00550251"/>
    <w:rsid w:val="0055105E"/>
    <w:rsid w:val="00551418"/>
    <w:rsid w:val="00551659"/>
    <w:rsid w:val="00552D34"/>
    <w:rsid w:val="00555E80"/>
    <w:rsid w:val="00557450"/>
    <w:rsid w:val="00560075"/>
    <w:rsid w:val="00560861"/>
    <w:rsid w:val="00564BAB"/>
    <w:rsid w:val="005672A8"/>
    <w:rsid w:val="00570D08"/>
    <w:rsid w:val="0057166E"/>
    <w:rsid w:val="00575E9B"/>
    <w:rsid w:val="00575FBA"/>
    <w:rsid w:val="005760B3"/>
    <w:rsid w:val="00576D30"/>
    <w:rsid w:val="0058217B"/>
    <w:rsid w:val="00584865"/>
    <w:rsid w:val="00586FBF"/>
    <w:rsid w:val="005921DA"/>
    <w:rsid w:val="005969C5"/>
    <w:rsid w:val="005A4B4F"/>
    <w:rsid w:val="005A62EA"/>
    <w:rsid w:val="005A75B8"/>
    <w:rsid w:val="005B6B16"/>
    <w:rsid w:val="005C5706"/>
    <w:rsid w:val="005C6015"/>
    <w:rsid w:val="005D01B0"/>
    <w:rsid w:val="005E06AA"/>
    <w:rsid w:val="005E45CC"/>
    <w:rsid w:val="005E6E4D"/>
    <w:rsid w:val="005F0308"/>
    <w:rsid w:val="005F1D73"/>
    <w:rsid w:val="006058DE"/>
    <w:rsid w:val="0060796C"/>
    <w:rsid w:val="00610D97"/>
    <w:rsid w:val="00610E92"/>
    <w:rsid w:val="0061160D"/>
    <w:rsid w:val="006176F8"/>
    <w:rsid w:val="0062215C"/>
    <w:rsid w:val="00624CE0"/>
    <w:rsid w:val="006306F0"/>
    <w:rsid w:val="006311E4"/>
    <w:rsid w:val="006316F9"/>
    <w:rsid w:val="00632933"/>
    <w:rsid w:val="006347AF"/>
    <w:rsid w:val="006374ED"/>
    <w:rsid w:val="00640128"/>
    <w:rsid w:val="0064309A"/>
    <w:rsid w:val="00651A2C"/>
    <w:rsid w:val="00656C68"/>
    <w:rsid w:val="006603E2"/>
    <w:rsid w:val="00664892"/>
    <w:rsid w:val="00666EC1"/>
    <w:rsid w:val="00666F18"/>
    <w:rsid w:val="0067326A"/>
    <w:rsid w:val="00681A43"/>
    <w:rsid w:val="0068250C"/>
    <w:rsid w:val="006834F5"/>
    <w:rsid w:val="006849DC"/>
    <w:rsid w:val="00685049"/>
    <w:rsid w:val="006912D0"/>
    <w:rsid w:val="006931D2"/>
    <w:rsid w:val="00693D21"/>
    <w:rsid w:val="00695108"/>
    <w:rsid w:val="00695C48"/>
    <w:rsid w:val="006A307E"/>
    <w:rsid w:val="006A5089"/>
    <w:rsid w:val="006A612A"/>
    <w:rsid w:val="006A768C"/>
    <w:rsid w:val="006B1441"/>
    <w:rsid w:val="006B19FE"/>
    <w:rsid w:val="006B56B1"/>
    <w:rsid w:val="006B7C33"/>
    <w:rsid w:val="006C0BF5"/>
    <w:rsid w:val="006C2777"/>
    <w:rsid w:val="006C292E"/>
    <w:rsid w:val="006C2DBC"/>
    <w:rsid w:val="006C3958"/>
    <w:rsid w:val="006C3D9E"/>
    <w:rsid w:val="006C5BF2"/>
    <w:rsid w:val="006D196A"/>
    <w:rsid w:val="006D6BAA"/>
    <w:rsid w:val="006E187E"/>
    <w:rsid w:val="006E1EE7"/>
    <w:rsid w:val="006E7F92"/>
    <w:rsid w:val="006F3FB6"/>
    <w:rsid w:val="00701BBE"/>
    <w:rsid w:val="0070315A"/>
    <w:rsid w:val="00704615"/>
    <w:rsid w:val="00714226"/>
    <w:rsid w:val="00714BB5"/>
    <w:rsid w:val="00715B0F"/>
    <w:rsid w:val="00720932"/>
    <w:rsid w:val="00732EA1"/>
    <w:rsid w:val="0073610C"/>
    <w:rsid w:val="007371E1"/>
    <w:rsid w:val="00741E42"/>
    <w:rsid w:val="0074338C"/>
    <w:rsid w:val="00747FAC"/>
    <w:rsid w:val="00750007"/>
    <w:rsid w:val="00751946"/>
    <w:rsid w:val="00755C1D"/>
    <w:rsid w:val="00760B92"/>
    <w:rsid w:val="00764A12"/>
    <w:rsid w:val="007659F2"/>
    <w:rsid w:val="00766A52"/>
    <w:rsid w:val="00771576"/>
    <w:rsid w:val="00771A57"/>
    <w:rsid w:val="00773820"/>
    <w:rsid w:val="00773C27"/>
    <w:rsid w:val="0077696F"/>
    <w:rsid w:val="00780271"/>
    <w:rsid w:val="00785065"/>
    <w:rsid w:val="0078579E"/>
    <w:rsid w:val="00791A78"/>
    <w:rsid w:val="007945EE"/>
    <w:rsid w:val="0079481D"/>
    <w:rsid w:val="00794C18"/>
    <w:rsid w:val="00797580"/>
    <w:rsid w:val="007A2EA9"/>
    <w:rsid w:val="007A4379"/>
    <w:rsid w:val="007A56BC"/>
    <w:rsid w:val="007B19C6"/>
    <w:rsid w:val="007B2EF8"/>
    <w:rsid w:val="007B40B9"/>
    <w:rsid w:val="007B77FF"/>
    <w:rsid w:val="007C2698"/>
    <w:rsid w:val="007C4C34"/>
    <w:rsid w:val="007C4C81"/>
    <w:rsid w:val="007C739C"/>
    <w:rsid w:val="007D0F06"/>
    <w:rsid w:val="007D1B72"/>
    <w:rsid w:val="007D242F"/>
    <w:rsid w:val="007D5506"/>
    <w:rsid w:val="007D5D7A"/>
    <w:rsid w:val="007D7C33"/>
    <w:rsid w:val="007E0B55"/>
    <w:rsid w:val="007E52B4"/>
    <w:rsid w:val="007F772A"/>
    <w:rsid w:val="007F78D5"/>
    <w:rsid w:val="008003E6"/>
    <w:rsid w:val="00801CF5"/>
    <w:rsid w:val="008061B1"/>
    <w:rsid w:val="0081057A"/>
    <w:rsid w:val="008110D3"/>
    <w:rsid w:val="00823A1C"/>
    <w:rsid w:val="00824A8C"/>
    <w:rsid w:val="00827024"/>
    <w:rsid w:val="00832913"/>
    <w:rsid w:val="0083448A"/>
    <w:rsid w:val="00834B96"/>
    <w:rsid w:val="00841B1E"/>
    <w:rsid w:val="00843CC4"/>
    <w:rsid w:val="0085702B"/>
    <w:rsid w:val="00857B9B"/>
    <w:rsid w:val="00872430"/>
    <w:rsid w:val="00872E86"/>
    <w:rsid w:val="00873030"/>
    <w:rsid w:val="00873F69"/>
    <w:rsid w:val="00875F51"/>
    <w:rsid w:val="0088016E"/>
    <w:rsid w:val="00882DC7"/>
    <w:rsid w:val="00884650"/>
    <w:rsid w:val="00884BA2"/>
    <w:rsid w:val="00886F98"/>
    <w:rsid w:val="008874D8"/>
    <w:rsid w:val="0089129B"/>
    <w:rsid w:val="00892E34"/>
    <w:rsid w:val="00893218"/>
    <w:rsid w:val="00893D55"/>
    <w:rsid w:val="00893FE0"/>
    <w:rsid w:val="00895E49"/>
    <w:rsid w:val="0089694E"/>
    <w:rsid w:val="008A04FC"/>
    <w:rsid w:val="008A2CEB"/>
    <w:rsid w:val="008A374E"/>
    <w:rsid w:val="008A40D7"/>
    <w:rsid w:val="008A4DB7"/>
    <w:rsid w:val="008A61EE"/>
    <w:rsid w:val="008A79A6"/>
    <w:rsid w:val="008B2D3B"/>
    <w:rsid w:val="008B302A"/>
    <w:rsid w:val="008B49BB"/>
    <w:rsid w:val="008C5373"/>
    <w:rsid w:val="008C5D70"/>
    <w:rsid w:val="008C6593"/>
    <w:rsid w:val="008C6ED1"/>
    <w:rsid w:val="008C75EC"/>
    <w:rsid w:val="008E6B57"/>
    <w:rsid w:val="008E6DE8"/>
    <w:rsid w:val="008E7030"/>
    <w:rsid w:val="00900C6A"/>
    <w:rsid w:val="0090116C"/>
    <w:rsid w:val="00901B68"/>
    <w:rsid w:val="00905C67"/>
    <w:rsid w:val="00906C66"/>
    <w:rsid w:val="009079F9"/>
    <w:rsid w:val="00907D02"/>
    <w:rsid w:val="00907ED8"/>
    <w:rsid w:val="009143D7"/>
    <w:rsid w:val="00916F0E"/>
    <w:rsid w:val="00921888"/>
    <w:rsid w:val="00921C47"/>
    <w:rsid w:val="009223F0"/>
    <w:rsid w:val="009224DD"/>
    <w:rsid w:val="0092351F"/>
    <w:rsid w:val="009244CC"/>
    <w:rsid w:val="00926DE2"/>
    <w:rsid w:val="009276DA"/>
    <w:rsid w:val="009279BA"/>
    <w:rsid w:val="0093054E"/>
    <w:rsid w:val="00930CE5"/>
    <w:rsid w:val="009317EA"/>
    <w:rsid w:val="00931B96"/>
    <w:rsid w:val="009329E0"/>
    <w:rsid w:val="00936D2B"/>
    <w:rsid w:val="0094108F"/>
    <w:rsid w:val="00946465"/>
    <w:rsid w:val="00957976"/>
    <w:rsid w:val="009620D9"/>
    <w:rsid w:val="00964A0C"/>
    <w:rsid w:val="00972961"/>
    <w:rsid w:val="00974274"/>
    <w:rsid w:val="00974CBA"/>
    <w:rsid w:val="00976C26"/>
    <w:rsid w:val="00980D46"/>
    <w:rsid w:val="00981AE9"/>
    <w:rsid w:val="0098204C"/>
    <w:rsid w:val="00983376"/>
    <w:rsid w:val="00985C02"/>
    <w:rsid w:val="0099390F"/>
    <w:rsid w:val="00993944"/>
    <w:rsid w:val="0099425E"/>
    <w:rsid w:val="009943F2"/>
    <w:rsid w:val="009A2151"/>
    <w:rsid w:val="009A78A0"/>
    <w:rsid w:val="009B1836"/>
    <w:rsid w:val="009B23C5"/>
    <w:rsid w:val="009B267B"/>
    <w:rsid w:val="009B2F1C"/>
    <w:rsid w:val="009B35E3"/>
    <w:rsid w:val="009B3E23"/>
    <w:rsid w:val="009C1169"/>
    <w:rsid w:val="009C2F46"/>
    <w:rsid w:val="009C4519"/>
    <w:rsid w:val="009C4D7C"/>
    <w:rsid w:val="009C4EBA"/>
    <w:rsid w:val="009C51AA"/>
    <w:rsid w:val="009C7690"/>
    <w:rsid w:val="009D0BD7"/>
    <w:rsid w:val="009D3EAB"/>
    <w:rsid w:val="009D552F"/>
    <w:rsid w:val="009D5FF2"/>
    <w:rsid w:val="009D6535"/>
    <w:rsid w:val="009E0B1C"/>
    <w:rsid w:val="009F3D91"/>
    <w:rsid w:val="009F3FBC"/>
    <w:rsid w:val="00A04070"/>
    <w:rsid w:val="00A04543"/>
    <w:rsid w:val="00A05057"/>
    <w:rsid w:val="00A05688"/>
    <w:rsid w:val="00A071EC"/>
    <w:rsid w:val="00A11E11"/>
    <w:rsid w:val="00A13B38"/>
    <w:rsid w:val="00A153E8"/>
    <w:rsid w:val="00A2017D"/>
    <w:rsid w:val="00A207B2"/>
    <w:rsid w:val="00A23D0F"/>
    <w:rsid w:val="00A30C56"/>
    <w:rsid w:val="00A322B7"/>
    <w:rsid w:val="00A349C0"/>
    <w:rsid w:val="00A3526C"/>
    <w:rsid w:val="00A373ED"/>
    <w:rsid w:val="00A37C44"/>
    <w:rsid w:val="00A422BE"/>
    <w:rsid w:val="00A4689E"/>
    <w:rsid w:val="00A51F14"/>
    <w:rsid w:val="00A52539"/>
    <w:rsid w:val="00A5480F"/>
    <w:rsid w:val="00A54818"/>
    <w:rsid w:val="00A554E3"/>
    <w:rsid w:val="00A56DD7"/>
    <w:rsid w:val="00A57282"/>
    <w:rsid w:val="00A60A0B"/>
    <w:rsid w:val="00A620DD"/>
    <w:rsid w:val="00A62B9C"/>
    <w:rsid w:val="00A67731"/>
    <w:rsid w:val="00A7031D"/>
    <w:rsid w:val="00A709CD"/>
    <w:rsid w:val="00A71B11"/>
    <w:rsid w:val="00A72CCB"/>
    <w:rsid w:val="00A72D0C"/>
    <w:rsid w:val="00A74FF8"/>
    <w:rsid w:val="00A757B0"/>
    <w:rsid w:val="00A75BA4"/>
    <w:rsid w:val="00A80275"/>
    <w:rsid w:val="00A8216C"/>
    <w:rsid w:val="00A857B6"/>
    <w:rsid w:val="00A91EBD"/>
    <w:rsid w:val="00A923A4"/>
    <w:rsid w:val="00A97282"/>
    <w:rsid w:val="00AA26AE"/>
    <w:rsid w:val="00AA7F76"/>
    <w:rsid w:val="00AB471A"/>
    <w:rsid w:val="00AB4B93"/>
    <w:rsid w:val="00AB7401"/>
    <w:rsid w:val="00AC2632"/>
    <w:rsid w:val="00AC27B9"/>
    <w:rsid w:val="00AC3A85"/>
    <w:rsid w:val="00AC72ED"/>
    <w:rsid w:val="00AD4A13"/>
    <w:rsid w:val="00AE1AFB"/>
    <w:rsid w:val="00AE2847"/>
    <w:rsid w:val="00AE46C4"/>
    <w:rsid w:val="00AE4AFD"/>
    <w:rsid w:val="00AE69C8"/>
    <w:rsid w:val="00AF0154"/>
    <w:rsid w:val="00AF1BED"/>
    <w:rsid w:val="00AF3838"/>
    <w:rsid w:val="00AF692F"/>
    <w:rsid w:val="00AF7E8B"/>
    <w:rsid w:val="00B028DE"/>
    <w:rsid w:val="00B03BF0"/>
    <w:rsid w:val="00B06A92"/>
    <w:rsid w:val="00B076BE"/>
    <w:rsid w:val="00B11283"/>
    <w:rsid w:val="00B11284"/>
    <w:rsid w:val="00B11F5E"/>
    <w:rsid w:val="00B15875"/>
    <w:rsid w:val="00B15D5B"/>
    <w:rsid w:val="00B22ACB"/>
    <w:rsid w:val="00B24683"/>
    <w:rsid w:val="00B248EE"/>
    <w:rsid w:val="00B25153"/>
    <w:rsid w:val="00B25D60"/>
    <w:rsid w:val="00B307E9"/>
    <w:rsid w:val="00B30E1F"/>
    <w:rsid w:val="00B3411C"/>
    <w:rsid w:val="00B344E6"/>
    <w:rsid w:val="00B42004"/>
    <w:rsid w:val="00B4271D"/>
    <w:rsid w:val="00B5065E"/>
    <w:rsid w:val="00B53402"/>
    <w:rsid w:val="00B541C2"/>
    <w:rsid w:val="00B64E63"/>
    <w:rsid w:val="00B64E7C"/>
    <w:rsid w:val="00B652DE"/>
    <w:rsid w:val="00B670C3"/>
    <w:rsid w:val="00B67ACC"/>
    <w:rsid w:val="00B67B26"/>
    <w:rsid w:val="00B75590"/>
    <w:rsid w:val="00B7574C"/>
    <w:rsid w:val="00B819C2"/>
    <w:rsid w:val="00B81C6E"/>
    <w:rsid w:val="00B916AC"/>
    <w:rsid w:val="00B92218"/>
    <w:rsid w:val="00B9353F"/>
    <w:rsid w:val="00B94877"/>
    <w:rsid w:val="00B97A1D"/>
    <w:rsid w:val="00BA63B7"/>
    <w:rsid w:val="00BB1591"/>
    <w:rsid w:val="00BC3BC3"/>
    <w:rsid w:val="00BC53CC"/>
    <w:rsid w:val="00BC5629"/>
    <w:rsid w:val="00BC752D"/>
    <w:rsid w:val="00BC7733"/>
    <w:rsid w:val="00BC7F12"/>
    <w:rsid w:val="00BD0DEB"/>
    <w:rsid w:val="00BD2B4E"/>
    <w:rsid w:val="00BD37E5"/>
    <w:rsid w:val="00BD6613"/>
    <w:rsid w:val="00BD7343"/>
    <w:rsid w:val="00BE0371"/>
    <w:rsid w:val="00BE42FA"/>
    <w:rsid w:val="00BE555D"/>
    <w:rsid w:val="00BE6E33"/>
    <w:rsid w:val="00BE7533"/>
    <w:rsid w:val="00BE7992"/>
    <w:rsid w:val="00BF16CC"/>
    <w:rsid w:val="00BF1AD9"/>
    <w:rsid w:val="00BF2651"/>
    <w:rsid w:val="00BF5363"/>
    <w:rsid w:val="00BF6E0F"/>
    <w:rsid w:val="00BF7141"/>
    <w:rsid w:val="00BF7341"/>
    <w:rsid w:val="00C01A69"/>
    <w:rsid w:val="00C037F8"/>
    <w:rsid w:val="00C03D1B"/>
    <w:rsid w:val="00C05F10"/>
    <w:rsid w:val="00C10A07"/>
    <w:rsid w:val="00C12C40"/>
    <w:rsid w:val="00C1694A"/>
    <w:rsid w:val="00C23104"/>
    <w:rsid w:val="00C30C7A"/>
    <w:rsid w:val="00C3386E"/>
    <w:rsid w:val="00C35B48"/>
    <w:rsid w:val="00C41969"/>
    <w:rsid w:val="00C42119"/>
    <w:rsid w:val="00C4222F"/>
    <w:rsid w:val="00C434E6"/>
    <w:rsid w:val="00C43853"/>
    <w:rsid w:val="00C4399C"/>
    <w:rsid w:val="00C44ED4"/>
    <w:rsid w:val="00C46F1D"/>
    <w:rsid w:val="00C475E0"/>
    <w:rsid w:val="00C50C5F"/>
    <w:rsid w:val="00C538B8"/>
    <w:rsid w:val="00C61D22"/>
    <w:rsid w:val="00C61E2F"/>
    <w:rsid w:val="00C637AD"/>
    <w:rsid w:val="00C65320"/>
    <w:rsid w:val="00C65910"/>
    <w:rsid w:val="00C705AD"/>
    <w:rsid w:val="00C7289A"/>
    <w:rsid w:val="00C729D5"/>
    <w:rsid w:val="00C740DB"/>
    <w:rsid w:val="00C76780"/>
    <w:rsid w:val="00C8034D"/>
    <w:rsid w:val="00C83BB2"/>
    <w:rsid w:val="00C86704"/>
    <w:rsid w:val="00C9052B"/>
    <w:rsid w:val="00C9137A"/>
    <w:rsid w:val="00C915BB"/>
    <w:rsid w:val="00C939AB"/>
    <w:rsid w:val="00C94D4B"/>
    <w:rsid w:val="00CA1128"/>
    <w:rsid w:val="00CA1ECF"/>
    <w:rsid w:val="00CA2D66"/>
    <w:rsid w:val="00CB36BC"/>
    <w:rsid w:val="00CB570D"/>
    <w:rsid w:val="00CC0DF2"/>
    <w:rsid w:val="00CD1323"/>
    <w:rsid w:val="00CD455D"/>
    <w:rsid w:val="00CD4A70"/>
    <w:rsid w:val="00CE0575"/>
    <w:rsid w:val="00CE159F"/>
    <w:rsid w:val="00CE3A21"/>
    <w:rsid w:val="00CE7C6C"/>
    <w:rsid w:val="00CF05D5"/>
    <w:rsid w:val="00D04440"/>
    <w:rsid w:val="00D06450"/>
    <w:rsid w:val="00D1143C"/>
    <w:rsid w:val="00D14143"/>
    <w:rsid w:val="00D16824"/>
    <w:rsid w:val="00D230AF"/>
    <w:rsid w:val="00D256AE"/>
    <w:rsid w:val="00D270E2"/>
    <w:rsid w:val="00D30CAD"/>
    <w:rsid w:val="00D3133D"/>
    <w:rsid w:val="00D32A9A"/>
    <w:rsid w:val="00D36043"/>
    <w:rsid w:val="00D427B7"/>
    <w:rsid w:val="00D53921"/>
    <w:rsid w:val="00D53DDD"/>
    <w:rsid w:val="00D5647F"/>
    <w:rsid w:val="00D606DB"/>
    <w:rsid w:val="00D62EF1"/>
    <w:rsid w:val="00D63D6C"/>
    <w:rsid w:val="00D64C06"/>
    <w:rsid w:val="00D650D7"/>
    <w:rsid w:val="00D73C97"/>
    <w:rsid w:val="00D747A2"/>
    <w:rsid w:val="00D75B4F"/>
    <w:rsid w:val="00D775CA"/>
    <w:rsid w:val="00D83514"/>
    <w:rsid w:val="00D8493D"/>
    <w:rsid w:val="00D852BF"/>
    <w:rsid w:val="00D905AD"/>
    <w:rsid w:val="00D93B28"/>
    <w:rsid w:val="00D95B66"/>
    <w:rsid w:val="00DA3540"/>
    <w:rsid w:val="00DA43EF"/>
    <w:rsid w:val="00DA614B"/>
    <w:rsid w:val="00DA6257"/>
    <w:rsid w:val="00DA6E49"/>
    <w:rsid w:val="00DB2C4F"/>
    <w:rsid w:val="00DB2F7C"/>
    <w:rsid w:val="00DB4347"/>
    <w:rsid w:val="00DB5568"/>
    <w:rsid w:val="00DB6A86"/>
    <w:rsid w:val="00DB6ABE"/>
    <w:rsid w:val="00DB7B00"/>
    <w:rsid w:val="00DC1807"/>
    <w:rsid w:val="00DC3845"/>
    <w:rsid w:val="00DC6656"/>
    <w:rsid w:val="00DC727F"/>
    <w:rsid w:val="00DC7F9C"/>
    <w:rsid w:val="00DD0FEE"/>
    <w:rsid w:val="00DD1665"/>
    <w:rsid w:val="00DD7CA9"/>
    <w:rsid w:val="00DE1BED"/>
    <w:rsid w:val="00DF2701"/>
    <w:rsid w:val="00DF42F1"/>
    <w:rsid w:val="00DF5FCA"/>
    <w:rsid w:val="00DF67C8"/>
    <w:rsid w:val="00E00C6C"/>
    <w:rsid w:val="00E023C6"/>
    <w:rsid w:val="00E03C64"/>
    <w:rsid w:val="00E10718"/>
    <w:rsid w:val="00E11ACF"/>
    <w:rsid w:val="00E12ECB"/>
    <w:rsid w:val="00E17EF0"/>
    <w:rsid w:val="00E24366"/>
    <w:rsid w:val="00E24412"/>
    <w:rsid w:val="00E24BBE"/>
    <w:rsid w:val="00E24E5D"/>
    <w:rsid w:val="00E46EE3"/>
    <w:rsid w:val="00E47B6A"/>
    <w:rsid w:val="00E47E3D"/>
    <w:rsid w:val="00E50A9D"/>
    <w:rsid w:val="00E50C23"/>
    <w:rsid w:val="00E51B56"/>
    <w:rsid w:val="00E51D67"/>
    <w:rsid w:val="00E53ED7"/>
    <w:rsid w:val="00E540FA"/>
    <w:rsid w:val="00E55C5B"/>
    <w:rsid w:val="00E56D50"/>
    <w:rsid w:val="00E7067C"/>
    <w:rsid w:val="00E71189"/>
    <w:rsid w:val="00E7128B"/>
    <w:rsid w:val="00E71D9A"/>
    <w:rsid w:val="00E721B8"/>
    <w:rsid w:val="00E740CE"/>
    <w:rsid w:val="00E80AA2"/>
    <w:rsid w:val="00E81630"/>
    <w:rsid w:val="00E81D2E"/>
    <w:rsid w:val="00E828BA"/>
    <w:rsid w:val="00E83226"/>
    <w:rsid w:val="00E83639"/>
    <w:rsid w:val="00E866A1"/>
    <w:rsid w:val="00E870E1"/>
    <w:rsid w:val="00E87968"/>
    <w:rsid w:val="00E92DA9"/>
    <w:rsid w:val="00E93FFD"/>
    <w:rsid w:val="00E94454"/>
    <w:rsid w:val="00E97752"/>
    <w:rsid w:val="00E977D1"/>
    <w:rsid w:val="00EA2CFC"/>
    <w:rsid w:val="00EA4345"/>
    <w:rsid w:val="00EA7CC3"/>
    <w:rsid w:val="00EB0132"/>
    <w:rsid w:val="00EB0B64"/>
    <w:rsid w:val="00EB184C"/>
    <w:rsid w:val="00EB47F0"/>
    <w:rsid w:val="00EB4ADC"/>
    <w:rsid w:val="00EC1CC3"/>
    <w:rsid w:val="00EC3C16"/>
    <w:rsid w:val="00EC4938"/>
    <w:rsid w:val="00EC67F4"/>
    <w:rsid w:val="00ED0C0C"/>
    <w:rsid w:val="00ED0C48"/>
    <w:rsid w:val="00ED2C59"/>
    <w:rsid w:val="00ED3DF9"/>
    <w:rsid w:val="00ED529B"/>
    <w:rsid w:val="00ED55D3"/>
    <w:rsid w:val="00ED6957"/>
    <w:rsid w:val="00EE08F9"/>
    <w:rsid w:val="00EE2380"/>
    <w:rsid w:val="00EE6A50"/>
    <w:rsid w:val="00EE6B22"/>
    <w:rsid w:val="00EF3647"/>
    <w:rsid w:val="00F010FA"/>
    <w:rsid w:val="00F04D13"/>
    <w:rsid w:val="00F05282"/>
    <w:rsid w:val="00F10893"/>
    <w:rsid w:val="00F114F4"/>
    <w:rsid w:val="00F12B70"/>
    <w:rsid w:val="00F13286"/>
    <w:rsid w:val="00F153B5"/>
    <w:rsid w:val="00F153FE"/>
    <w:rsid w:val="00F171D4"/>
    <w:rsid w:val="00F21ABE"/>
    <w:rsid w:val="00F22C99"/>
    <w:rsid w:val="00F264A8"/>
    <w:rsid w:val="00F33519"/>
    <w:rsid w:val="00F37A33"/>
    <w:rsid w:val="00F429D9"/>
    <w:rsid w:val="00F43924"/>
    <w:rsid w:val="00F45817"/>
    <w:rsid w:val="00F50E27"/>
    <w:rsid w:val="00F51CC3"/>
    <w:rsid w:val="00F51E59"/>
    <w:rsid w:val="00F60838"/>
    <w:rsid w:val="00F62700"/>
    <w:rsid w:val="00F64293"/>
    <w:rsid w:val="00F675E3"/>
    <w:rsid w:val="00F843BD"/>
    <w:rsid w:val="00F84DEA"/>
    <w:rsid w:val="00F84F8D"/>
    <w:rsid w:val="00F876D7"/>
    <w:rsid w:val="00F87A01"/>
    <w:rsid w:val="00F94193"/>
    <w:rsid w:val="00FA44CE"/>
    <w:rsid w:val="00FA65D1"/>
    <w:rsid w:val="00FA76F9"/>
    <w:rsid w:val="00FB0A6D"/>
    <w:rsid w:val="00FB17C4"/>
    <w:rsid w:val="00FB28A4"/>
    <w:rsid w:val="00FB37E6"/>
    <w:rsid w:val="00FB3D9E"/>
    <w:rsid w:val="00FB6099"/>
    <w:rsid w:val="00FB698A"/>
    <w:rsid w:val="00FB7B33"/>
    <w:rsid w:val="00FC16A6"/>
    <w:rsid w:val="00FC208C"/>
    <w:rsid w:val="00FC3F9D"/>
    <w:rsid w:val="00FC40B8"/>
    <w:rsid w:val="00FC432C"/>
    <w:rsid w:val="00FD0263"/>
    <w:rsid w:val="00FD6C64"/>
    <w:rsid w:val="00FD7EE1"/>
    <w:rsid w:val="00FE091D"/>
    <w:rsid w:val="00FE0EEC"/>
    <w:rsid w:val="00FE24CE"/>
    <w:rsid w:val="00FE3990"/>
    <w:rsid w:val="00FE425F"/>
    <w:rsid w:val="00FE5CB5"/>
    <w:rsid w:val="00FF054C"/>
    <w:rsid w:val="00FF0C91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D3399-2902-460A-A850-1B224644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9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a7">
    <w:name w:val="page number"/>
    <w:basedOn w:val="a0"/>
    <w:uiPriority w:val="99"/>
    <w:rsid w:val="00A67731"/>
  </w:style>
  <w:style w:type="paragraph" w:styleId="a8">
    <w:name w:val="header"/>
    <w:basedOn w:val="a"/>
    <w:link w:val="a9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FA65D1"/>
    <w:rPr>
      <w:rFonts w:ascii="Calibri" w:hAnsi="Calibri" w:cs="Calibri"/>
      <w:lang w:eastAsia="en-US"/>
    </w:rPr>
  </w:style>
  <w:style w:type="paragraph" w:styleId="aa">
    <w:name w:val="Plain Text"/>
    <w:basedOn w:val="a"/>
    <w:link w:val="ab"/>
    <w:uiPriority w:val="99"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5065E"/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59"/>
    <w:locked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semiHidden/>
    <w:unhideWhenUsed/>
    <w:rsid w:val="0020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0578D"/>
  </w:style>
  <w:style w:type="character" w:styleId="ae">
    <w:name w:val="Hyperlink"/>
    <w:basedOn w:val="a0"/>
    <w:uiPriority w:val="99"/>
    <w:semiHidden/>
    <w:unhideWhenUsed/>
    <w:rsid w:val="00205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CE9B77701A9325510AA539851368AFC48C351E3F7DEFB175BD02CBE503E2C59FA6A51EA0CD94A53k4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1900;fld=134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C0388-20EC-4AF5-B043-AD08B6AE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5549</Words>
  <Characters>31634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37109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2022-01-12T06:05:00Z</cp:lastPrinted>
  <dcterms:created xsi:type="dcterms:W3CDTF">2021-09-21T11:52:00Z</dcterms:created>
  <dcterms:modified xsi:type="dcterms:W3CDTF">2022-11-02T05:23:00Z</dcterms:modified>
</cp:coreProperties>
</file>