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№2 </w:t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>
      <w:pPr>
        <w:pStyle w:val="Normal"/>
        <w:suppressAutoHyphens w:val="true"/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ЗАТО г.Радужный  Владимирской области  </w:t>
      </w:r>
    </w:p>
    <w:p>
      <w:pPr>
        <w:pStyle w:val="Normal"/>
        <w:suppressAutoHyphens w:val="true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от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11.06.2025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№ </w:t>
      </w:r>
      <w:r>
        <w:rPr>
          <w:rFonts w:eastAsia="Times New Roman" w:cs="Times New Roman" w:ascii="Times New Roman" w:hAnsi="Times New Roman"/>
          <w:sz w:val="20"/>
          <w:szCs w:val="20"/>
        </w:rPr>
        <w:t>704</w:t>
      </w:r>
    </w:p>
    <w:p>
      <w:pPr>
        <w:pStyle w:val="Normal"/>
        <w:tabs>
          <w:tab w:val="clear" w:pos="720"/>
          <w:tab w:val="left" w:pos="340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340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Форма отчета по итогам проведения Всероссийской акции «Безопасность детства»</w:t>
      </w:r>
    </w:p>
    <w:p>
      <w:pPr>
        <w:pStyle w:val="Normal"/>
        <w:tabs>
          <w:tab w:val="clear" w:pos="720"/>
          <w:tab w:val="left" w:pos="340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d64swcjahylp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за период с 16 июня по 31 августа 2025 года</w:t>
      </w:r>
    </w:p>
    <w:p>
      <w:pPr>
        <w:pStyle w:val="Normal"/>
        <w:tabs>
          <w:tab w:val="clear" w:pos="720"/>
          <w:tab w:val="left" w:pos="340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StGen0"/>
        <w:tblW w:w="14915" w:type="dxa"/>
        <w:jc w:val="left"/>
        <w:tblInd w:w="-5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1054"/>
        <w:gridCol w:w="11419"/>
        <w:gridCol w:w="2442"/>
      </w:tblGrid>
      <w:tr>
        <w:trPr>
          <w:trHeight w:val="712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Наименование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Всего за период </w:t>
              <w:br/>
              <w:t>(июнь, июль, август)</w:t>
            </w:r>
          </w:p>
        </w:tc>
      </w:tr>
      <w:tr>
        <w:trPr>
          <w:trHeight w:val="38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Количество проверенных объектов в регионе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детские площадки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26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спортивные площадки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лагеря дневного пребывания и прилегающие к ним территории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загородные оздоровительные лагеря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торгово-развлекательные центры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парки, скверы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места для отдыха и купания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места, запрещенные для купания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2.9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образовательные организации и прилегающие к ним территории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2.10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детские поликлиники и больницы, прилегающие к ним территории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недостроенные и заброшенные здания и сооружения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чердачные, подвальные помещения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места возможного скопления безнадзорных собак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2.14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объекты (указать)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bidi="ar-SA"/>
              </w:rPr>
              <w:t>Количество выявленных нарушений на указанных объектах в п.2. всего (единиц)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 детских площадках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 спортивных площадках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лагерях дневного пребывания и на прилегающих к ним территориях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загородных оздоровительных лагерях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торгово-развлекательных центрах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парках, скверах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местах для отдыха и купания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местах, запрещенных для купания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3.9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образовательных организациях и на прилегающих к ним территориях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3.10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в детских поликлиниках и больницах, на прилегающих к ним территориях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недостроенных и заброшенных зданиях и сооружениях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чердачных, подвальных помещениях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местах возможного скопления безнадзорных собак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3.14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(указать)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Категории нарушений, выявленных в ходе проведения мониторинга, с указанием количества выявленных фактов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отсутствие освещения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травмоопасное оборудование на детских и спортивных площадках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открытые канализационные люки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провалы грунта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наличие на территории мест скопления безнадзорных собак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4.9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иное (указать)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Количество объектов, на которых выявленные недостатки устранены силами участников Акции, всего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покошена трава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отремонтированы конструкции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убрана территория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установлены предупреждающие знаки (конструкции, ограждение)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оборудованы места для безопасного купания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5.8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иное (указать)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Категории информирования о возможных опасностях и способах их преодоления</w:t>
              <w:br/>
              <w:t>с указанием их количества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 количество: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информационных сообщений в СМИ,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на сайтах и в социальных сетях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созданных фото- и видеоматериалов по тематике Акции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размещенных информационных материалов в общественных местах (плакаты, листовки, иные промоматериалы)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роведенных семинаров-совещаний для педагогических работников, специалистов по социальной работе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проведенных просветительских мероприятий (семинаров, лекториев, тренингов и др.) для законных представителей детей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 xml:space="preserve">проведенных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6.7.1.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в том числе с участием членов Детского общественного совета при Уполномоченном</w:t>
              <w:br/>
              <w:t>по правам ребенка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проведенных региональных пресс-конференций по итогам проведения Акции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2"/>
                <w:lang w:val="ru-RU" w:bidi="ar-SA"/>
              </w:rPr>
              <w:t>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2"/>
                <w:lang w:val="ru-RU" w:bidi="ar-SA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 количество:</w:t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организованных соревнований по дворовому спорту, уличных игр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организованных выездов, экскурсий, тематических культурных и исторических квестов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проведенных тематических культурно-досуговых мероприятий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организованных мероприятий летней трудовой занятости подростков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2"/>
                <w:lang w:val="ru-RU" w:bidi="ar-SA"/>
              </w:rPr>
              <w:t>детей, принявших участие в лагерях дневного пребывания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Создание условий для проведения мониторинга наличия и доступности бесплатных программ обучения детей плаванию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действует бесплатная программа обучения плаванию (да/нет)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созданы условия для всеобщего бесплатного обучения детей плаванию как базовому жизнеобеспечивающему навыку, начиная с дошкольного возраста (да/нет)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созданы инфраструктурные условия для всеобщего бесплатного обучения детей плаванию, в том числе детей-инвалидов и детей с ограниченными возможностями здоровья (да/нет). Какие именно?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обеспечена популяризация бесплатного обучения детей плаванию как средства сохранения и укрепления здоровья (да/нет). Каким образом?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реализуется бесплатная программа повышения квалификации педагогов и тренеров (инструкторов), работающих с детьми, для более эффективного обучения детей плаванию по бесплатной программе (да/нет). Количество педагогов и тренеров (инструкторов), прошедших повышение квалификации по данной программе.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регионе обеспечена информированность о бесплатной федеральной программе «Плавание для всех» (да/нет). Каким образом?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bidi="ar-SA"/>
              </w:rPr>
              <w:t>Открыта «горячая линия» Уполномоченного по правам ребенка с целью получения информации от населения о случаях возникновения угрозы для жизни</w:t>
              <w:br/>
              <w:t>и здоровья несовершеннолетних в период летних школьных каникул (да/нет)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bidi="ar-SA"/>
              </w:rPr>
              <w:t>Количество несчастных случаев с несовершеннолетними в регионе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виды несчастных случаев:</w:t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травмы, полученные на игровых площадках, спортплощадках и в общественных пространствах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10.2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травмы, полученные в образовательных организациях и на прилегающих к ним территориях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10.3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дорожно-транспортные происшествия с участием детей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10.4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травмы, полученные в результате проникновения на объекты повышенного риска, закрытые для свободного посещения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10.5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травмы, полученные в результате нападений собак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10.6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падение из окон, с балконов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10.7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падение в открытые канализационные люки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10.8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бытовые травмы, полученные в связи с несоблюдением техники безопасности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10.9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пожары, вызванные неосторожным обращением с огнем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10.10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bidi="ar-SA"/>
              </w:rPr>
              <w:t>несчастные случаи в организованных местах для купания (в том числе тепловой удар, утопление и др.)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10.11</w:t>
            </w:r>
          </w:p>
        </w:tc>
        <w:tc>
          <w:tcPr>
            <w:tcW w:w="1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(указать)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2595" w:leader="none"/>
        </w:tabs>
        <w:spacing w:lineRule="auto" w:line="240" w:before="0" w:after="1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orient="landscape" w:w="16838" w:h="11906"/>
      <w:pgMar w:left="1134" w:right="1134" w:gutter="0" w:header="709" w:top="992" w:footer="709" w:bottom="851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79908766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363364926"/>
    </w:sdtPr>
    <w:sdtContent>
      <w:p>
        <w:pPr>
          <w:pStyle w:val="Footer"/>
          <w:rPr>
            <w:rStyle w:val="Pagenumber"/>
            <w:rFonts w:ascii="Times New Roman" w:hAnsi="Times New Roman" w:cs="Times New Roman"/>
          </w:rPr>
        </w:pPr>
        <w:r>
          <w:rPr>
            <w:rStyle w:val="Pagenumber"/>
            <w:rFonts w:cs="Times New Roman" w:ascii="Times New Roman" w:hAnsi="Times New Roman"/>
          </w:rPr>
          <w:fldChar w:fldCharType="begin"/>
        </w:r>
        <w:r>
          <w:rPr>
            <w:rStyle w:val="Pagenumber"/>
            <w:rFonts w:cs="Times New Roman" w:ascii="Times New Roman" w:hAnsi="Times New Roman"/>
          </w:rPr>
          <w:instrText xml:space="preserve"> PAGE </w:instrText>
        </w:r>
        <w:r>
          <w:rPr>
            <w:rStyle w:val="Pagenumber"/>
            <w:rFonts w:cs="Times New Roman" w:ascii="Times New Roman" w:hAnsi="Times New Roman"/>
          </w:rPr>
          <w:fldChar w:fldCharType="separate"/>
        </w:r>
        <w:r>
          <w:rPr>
            <w:rStyle w:val="Pagenumber"/>
            <w:rFonts w:cs="Times New Roman" w:ascii="Times New Roman" w:hAnsi="Times New Roman"/>
          </w:rPr>
          <w:t>5</w:t>
        </w:r>
        <w:r>
          <w:rPr>
            <w:rStyle w:val="Pagenumber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2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3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4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5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6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Style11" w:customStyle="1">
    <w:name w:val="Верхний колонтитул Знак"/>
    <w:uiPriority w:val="99"/>
    <w:qFormat/>
    <w:rPr>
      <w:rFonts w:cs="Times New Roman"/>
    </w:rPr>
  </w:style>
  <w:style w:type="character" w:styleId="Style12" w:customStyle="1">
    <w:name w:val="Текст сноски Знак"/>
    <w:uiPriority w:val="99"/>
    <w:semiHidden/>
    <w:qFormat/>
    <w:rPr>
      <w:sz w:val="20"/>
      <w:szCs w:val="20"/>
      <w:lang w:eastAsia="en-US"/>
    </w:rPr>
  </w:style>
  <w:style w:type="character" w:styleId="Style13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3409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fb5041"/>
    <w:rPr/>
  </w:style>
  <w:style w:type="character" w:styleId="Style16" w:customStyle="1">
    <w:name w:val="Тема примечания Знак"/>
    <w:basedOn w:val="Style14"/>
    <w:link w:val="Annotationsubject"/>
    <w:uiPriority w:val="99"/>
    <w:semiHidden/>
    <w:qFormat/>
    <w:rsid w:val="00963305"/>
    <w:rPr>
      <w:b/>
      <w:bCs/>
      <w:sz w:val="20"/>
      <w:szCs w:val="20"/>
      <w:lang w:eastAsia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link w:val="Style8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EndnoteText">
    <w:name w:val="Endnote Text"/>
    <w:basedOn w:val="Normal"/>
    <w:link w:val="Style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Title">
    <w:name w:val="Title"/>
    <w:basedOn w:val="Normal"/>
    <w:next w:val="Normal"/>
    <w:link w:val="Style5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Style11"/>
    <w:uiPriority w:val="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2"/>
    <w:uiPriority w:val="99"/>
    <w:semiHidden/>
    <w:unhideWhenUsed/>
    <w:pPr/>
    <w:rPr>
      <w:sz w:val="20"/>
      <w:szCs w:val="20"/>
    </w:rPr>
  </w:style>
  <w:style w:type="paragraph" w:styleId="Subtitle">
    <w:name w:val="Subtitle"/>
    <w:basedOn w:val="Normal"/>
    <w:next w:val="Normal"/>
    <w:link w:val="Style6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34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96330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0200-A771-42DA-A0FB-95863103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LibreOffice/7.6.2.1$Windows_X86_64 LibreOffice_project/56f7684011345957bbf33a7ee678afaf4d2ba333</Application>
  <AppVersion>15.0000</AppVersion>
  <Pages>5</Pages>
  <Words>850</Words>
  <Characters>5745</Characters>
  <CharactersWithSpaces>6410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2025-05-21T10:38:00Z</dcterms:created>
  <dc:creator>Назарова Юлия Владимировна</dc:creator>
  <dc:description/>
  <dc:language>ru-RU</dc:language>
  <cp:lastModifiedBy/>
  <cp:lastPrinted>2023-09-27T12:46:00Z</cp:lastPrinted>
  <dcterms:modified xsi:type="dcterms:W3CDTF">2025-06-16T10:55:10Z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